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006"/>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58"/>
                    <w:jc w:val="center"/>
                    <w:rPr>
                      <w:rFonts w:ascii="Cambria" w:hAnsi="Cambria" w:cs="Cambria"/>
                      <w:sz w:val="36"/>
                      <w:szCs w:val="36"/>
                    </w:rPr>
                  </w:pPr>
                  <w:r>
                    <w:rPr>
                      <w:rFonts w:ascii="Cambria" w:hAnsi="Cambria" w:cs="Cambria"/>
                      <w:sz w:val="36"/>
                      <w:szCs w:val="36"/>
                    </w:rPr>
                    <w:t xml:space="preserve">ТАРИФЫ КОМИССИОННОГО</w:t>
                  </w:r>
                  <w:r>
                    <w:rPr>
                      <w:rFonts w:ascii="Cambria" w:hAnsi="Cambria" w:cs="Cambria"/>
                      <w:sz w:val="36"/>
                      <w:szCs w:val="36"/>
                    </w:rPr>
                  </w:r>
                  <w:r>
                    <w:rPr>
                      <w:rFonts w:ascii="Cambria" w:hAnsi="Cambria" w:cs="Cambria"/>
                      <w:sz w:val="36"/>
                      <w:szCs w:val="36"/>
                    </w:rPr>
                  </w:r>
                </w:p>
                <w:p>
                  <w:pPr>
                    <w:pStyle w:val="1158"/>
                    <w:jc w:val="center"/>
                    <w:rPr>
                      <w:rFonts w:ascii="Cambria" w:hAnsi="Cambria" w:cs="Cambria"/>
                      <w:sz w:val="36"/>
                      <w:szCs w:val="36"/>
                    </w:rPr>
                  </w:pPr>
                  <w:r>
                    <w:rPr>
                      <w:rFonts w:ascii="Cambria" w:hAnsi="Cambria" w:cs="Cambria"/>
                      <w:sz w:val="36"/>
                      <w:szCs w:val="36"/>
                    </w:rPr>
                    <w:t xml:space="preserve">ВОЗНАГРАЖДЕНИЯ НА УСЛУГИ</w:t>
                  </w:r>
                  <w:r>
                    <w:rPr>
                      <w:rFonts w:ascii="Cambria" w:hAnsi="Cambria" w:cs="Cambria"/>
                      <w:sz w:val="36"/>
                      <w:szCs w:val="36"/>
                    </w:rPr>
                  </w:r>
                  <w:r>
                    <w:rPr>
                      <w:rFonts w:ascii="Cambria" w:hAnsi="Cambria" w:cs="Cambria"/>
                      <w:sz w:val="36"/>
                      <w:szCs w:val="36"/>
                    </w:rPr>
                  </w:r>
                </w:p>
                <w:p>
                  <w:pPr>
                    <w:pStyle w:val="1158"/>
                    <w:jc w:val="center"/>
                    <w:rPr>
                      <w:rFonts w:ascii="Cambria" w:hAnsi="Cambria" w:cs="Cambria"/>
                      <w:sz w:val="36"/>
                      <w:szCs w:val="36"/>
                    </w:rPr>
                  </w:pPr>
                  <w:r>
                    <w:rPr>
                      <w:rFonts w:ascii="Cambria" w:hAnsi="Cambria" w:cs="Cambria"/>
                      <w:sz w:val="36"/>
                      <w:szCs w:val="36"/>
                    </w:rPr>
                    <w:t xml:space="preserve">ЮРИДИЧЕСКИМ ЛИЦАМ, СУБЪЕКТАМ РОССИЙСКОЙ ФЕДЕРАЦИИ, МУНИЦИПАЛЬНЫМ ОБРАЗОВАНИЯМ, ИНДИВИДУАЛЬНЫМ</w:t>
                  </w:r>
                  <w:r>
                    <w:rPr>
                      <w:rFonts w:ascii="Cambria" w:hAnsi="Cambria" w:cs="Cambria"/>
                      <w:sz w:val="36"/>
                      <w:szCs w:val="36"/>
                    </w:rPr>
                  </w:r>
                  <w:r>
                    <w:rPr>
                      <w:rFonts w:ascii="Cambria" w:hAnsi="Cambria" w:cs="Cambria"/>
                      <w:sz w:val="36"/>
                      <w:szCs w:val="36"/>
                    </w:rPr>
                  </w:r>
                </w:p>
                <w:p>
                  <w:pPr>
                    <w:pStyle w:val="1158"/>
                    <w:jc w:val="center"/>
                    <w:rPr>
                      <w:rFonts w:ascii="Cambria" w:hAnsi="Cambria" w:cs="Cambria"/>
                      <w:sz w:val="36"/>
                      <w:szCs w:val="36"/>
                    </w:rPr>
                  </w:pPr>
                  <w:r>
                    <w:rPr>
                      <w:rFonts w:ascii="Cambria" w:hAnsi="Cambria" w:cs="Cambria"/>
                      <w:sz w:val="36"/>
                      <w:szCs w:val="36"/>
                    </w:rPr>
                    <w:t xml:space="preserve">ПРЕДПРИНИМАТЕЛЯМ И ФИЗИЧЕСКИМ</w:t>
                  </w:r>
                  <w:r>
                    <w:rPr>
                      <w:rFonts w:ascii="Cambria" w:hAnsi="Cambria" w:cs="Cambria"/>
                      <w:sz w:val="36"/>
                      <w:szCs w:val="36"/>
                    </w:rPr>
                  </w:r>
                  <w:r>
                    <w:rPr>
                      <w:rFonts w:ascii="Cambria" w:hAnsi="Cambria" w:cs="Cambria"/>
                      <w:sz w:val="36"/>
                      <w:szCs w:val="36"/>
                    </w:rPr>
                  </w:r>
                </w:p>
                <w:p>
                  <w:pPr>
                    <w:pStyle w:val="1158"/>
                    <w:jc w:val="center"/>
                    <w:rPr>
                      <w:rFonts w:ascii="Cambria" w:hAnsi="Cambria" w:cs="Cambria"/>
                      <w:sz w:val="36"/>
                      <w:szCs w:val="36"/>
                    </w:rPr>
                  </w:pPr>
                  <w:r>
                    <w:rPr>
                      <w:rFonts w:ascii="Cambria" w:hAnsi="Cambria" w:cs="Cambria"/>
                      <w:sz w:val="36"/>
                      <w:szCs w:val="36"/>
                    </w:rPr>
                    <w:t xml:space="preserve">ЛИЦАМ, ЗАНИМАЮЩИМСЯ В</w:t>
                  </w:r>
                  <w:r>
                    <w:rPr>
                      <w:rFonts w:ascii="Cambria" w:hAnsi="Cambria" w:cs="Cambria"/>
                      <w:sz w:val="36"/>
                      <w:szCs w:val="36"/>
                    </w:rPr>
                  </w:r>
                  <w:r>
                    <w:rPr>
                      <w:rFonts w:ascii="Cambria" w:hAnsi="Cambria" w:cs="Cambria"/>
                      <w:sz w:val="36"/>
                      <w:szCs w:val="36"/>
                    </w:rPr>
                  </w:r>
                </w:p>
                <w:p>
                  <w:pPr>
                    <w:pStyle w:val="1158"/>
                    <w:jc w:val="center"/>
                    <w:rPr>
                      <w:rFonts w:ascii="Cambria" w:hAnsi="Cambria" w:cs="Cambria"/>
                      <w:sz w:val="36"/>
                      <w:szCs w:val="36"/>
                    </w:rPr>
                  </w:pPr>
                  <w:r>
                    <w:rPr>
                      <w:rFonts w:ascii="Cambria" w:hAnsi="Cambria" w:cs="Cambria"/>
                      <w:sz w:val="36"/>
                      <w:szCs w:val="36"/>
                    </w:rPr>
                    <w:t xml:space="preserve">УСТАНОВЛЕННОМ ЗАКОНОДАТЕЛЬСТВОМ</w:t>
                  </w:r>
                  <w:r>
                    <w:rPr>
                      <w:rFonts w:ascii="Cambria" w:hAnsi="Cambria" w:cs="Cambria"/>
                      <w:sz w:val="36"/>
                      <w:szCs w:val="36"/>
                    </w:rPr>
                  </w:r>
                  <w:r>
                    <w:rPr>
                      <w:rFonts w:ascii="Cambria" w:hAnsi="Cambria" w:cs="Cambria"/>
                      <w:sz w:val="36"/>
                      <w:szCs w:val="36"/>
                    </w:rPr>
                  </w:r>
                </w:p>
                <w:p>
                  <w:pPr>
                    <w:pStyle w:val="1158"/>
                    <w:jc w:val="center"/>
                    <w:rPr>
                      <w:rFonts w:ascii="Cambria" w:hAnsi="Cambria" w:cs="Cambria"/>
                      <w:sz w:val="36"/>
                      <w:szCs w:val="36"/>
                    </w:rPr>
                  </w:pPr>
                  <w:r>
                    <w:rPr>
                      <w:rFonts w:ascii="Cambria" w:hAnsi="Cambria" w:cs="Cambria"/>
                      <w:sz w:val="36"/>
                      <w:szCs w:val="36"/>
                    </w:rPr>
                    <w:t xml:space="preserve">РОССИЙСКОЙ ФЕДЕРАЦИИ ПОРЯДКЕ</w:t>
                  </w:r>
                  <w:r>
                    <w:rPr>
                      <w:rFonts w:ascii="Cambria" w:hAnsi="Cambria" w:cs="Cambria"/>
                      <w:sz w:val="36"/>
                      <w:szCs w:val="36"/>
                    </w:rPr>
                  </w:r>
                  <w:r>
                    <w:rPr>
                      <w:rFonts w:ascii="Cambria" w:hAnsi="Cambria" w:cs="Cambria"/>
                      <w:sz w:val="36"/>
                      <w:szCs w:val="36"/>
                    </w:rPr>
                  </w:r>
                </w:p>
                <w:p>
                  <w:pPr>
                    <w:pStyle w:val="1158"/>
                    <w:jc w:val="center"/>
                    <w:rPr>
                      <w:rFonts w:ascii="Cambria" w:hAnsi="Cambria" w:cs="Cambria"/>
                      <w:sz w:val="36"/>
                      <w:szCs w:val="36"/>
                    </w:rPr>
                  </w:pPr>
                  <w:r>
                    <w:rPr>
                      <w:rFonts w:ascii="Cambria" w:hAnsi="Cambria" w:cs="Cambria"/>
                      <w:sz w:val="36"/>
                      <w:szCs w:val="36"/>
                    </w:rPr>
                    <w:t xml:space="preserve">ЧАСТНОЙ ПРАКТИКОЙ</w:t>
                  </w:r>
                  <w:r>
                    <w:rPr>
                      <w:rFonts w:ascii="Cambria" w:hAnsi="Cambria" w:cs="Cambria"/>
                      <w:sz w:val="36"/>
                      <w:szCs w:val="36"/>
                    </w:rPr>
                  </w:r>
                  <w:r>
                    <w:rPr>
                      <w:rFonts w:ascii="Cambria" w:hAnsi="Cambria" w:cs="Cambria"/>
                      <w:sz w:val="36"/>
                      <w:szCs w:val="36"/>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t xml:space="preserve">ССП-владелец НД:</w:t>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2"/>
                          <w:jc w:val="both"/>
                          <w:spacing w:line="300" w:lineRule="auto"/>
                          <w:rPr>
                            <w:color w:val="000000"/>
                            <w:lang w:eastAsia="en-US"/>
                          </w:rPr>
                        </w:pPr>
                        <w:r>
                          <w:rPr>
                            <w:color w:val="000000"/>
                          </w:rPr>
                          <w:t xml:space="preserve">Департамент транзакционного бизнеса и цифровых каналов продаж МСБ и микробизнеса</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2"/>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8"/>
                    </w:trPr>
                    <w:tc>
                      <w:tcPr>
                        <w:tcW w:w="2069" w:type="pct"/>
                        <w:vAlign w:val="center"/>
                        <w:textDirection w:val="lrTb"/>
                        <w:noWrap w:val="false"/>
                      </w:tcPr>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t xml:space="preserve">Код нормативного документа:</w:t>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2"/>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trPr>
                    <w:tc>
                      <w:tcPr>
                        <w:tcW w:w="2069" w:type="pct"/>
                        <w:vAlign w:val="center"/>
                        <w:textDirection w:val="lrTb"/>
                        <w:noWrap w:val="false"/>
                      </w:tcPr>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t xml:space="preserve">Номер версии:</w:t>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2"/>
                          <w:jc w:val="both"/>
                          <w:spacing w:line="300" w:lineRule="auto"/>
                          <w:rPr>
                            <w:color w:val="000000"/>
                            <w:lang w:eastAsia="en-US"/>
                          </w:rPr>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t xml:space="preserve">Область применения:</w:t>
                        </w:r>
                        <w:r>
                          <w:rPr>
                            <w:b/>
                            <w:color w:val="000000"/>
                            <w:lang w:eastAsia="en-US"/>
                          </w:rPr>
                        </w:r>
                        <w:r>
                          <w:rPr>
                            <w:b/>
                            <w:color w:val="000000"/>
                            <w:lang w:eastAsia="en-US"/>
                          </w:rPr>
                        </w:r>
                      </w:p>
                      <w:p>
                        <w:pPr>
                          <w:pStyle w:val="1142"/>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42"/>
                          <w:jc w:val="both"/>
                          <w:spacing w:line="300" w:lineRule="auto"/>
                          <w:rPr>
                            <w:color w:val="000000"/>
                            <w:lang w:eastAsia="en-US"/>
                          </w:rPr>
                        </w:pPr>
                        <w:r>
                          <w:rPr>
                            <w:rFonts w:eastAsia="Calibri"/>
                            <w:lang w:eastAsia="en-US"/>
                          </w:rPr>
                          <w:t xml:space="preserve">РФ/ВСП РФ</w:t>
                        </w:r>
                        <w:r>
                          <w:rPr>
                            <w:color w:val="000000"/>
                            <w:lang w:eastAsia="en-US"/>
                          </w:rPr>
                        </w:r>
                        <w:r>
                          <w:rPr>
                            <w:color w:val="000000"/>
                            <w:lang w:eastAsia="en-US"/>
                          </w:rPr>
                        </w:r>
                      </w:p>
                    </w:tc>
                  </w:tr>
                </w:tbl>
                <w:p>
                  <w:pPr>
                    <w:pStyle w:val="1158"/>
                    <w:jc w:val="center"/>
                    <w:rPr>
                      <w:rFonts w:ascii="Cambria" w:hAnsi="Cambria"/>
                      <w:sz w:val="80"/>
                      <w:szCs w:val="80"/>
                    </w:rPr>
                  </w:pPr>
                  <w:r>
                    <w:rPr>
                      <w:rFonts w:ascii="Cambria" w:hAnsi="Cambria"/>
                      <w:sz w:val="80"/>
                      <w:szCs w:val="80"/>
                    </w:rPr>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58"/>
                    <w:jc w:val="center"/>
                  </w:pPr>
                  <w:r/>
                  <w:r/>
                </w:p>
              </w:tc>
            </w:tr>
            <w:tr>
              <w:tblPrEx/>
              <w:trPr>
                <w:trHeight w:val="360"/>
              </w:trPr>
              <w:tc>
                <w:tcPr>
                  <w:tcBorders>
                    <w:top w:val="single" w:color="008444" w:sz="12" w:space="0"/>
                  </w:tcBorders>
                  <w:tcW w:w="5000" w:type="pct"/>
                  <w:vAlign w:val="center"/>
                  <w:textDirection w:val="lrTb"/>
                  <w:noWrap w:val="false"/>
                </w:tcPr>
                <w:p>
                  <w:pPr>
                    <w:pStyle w:val="1158"/>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58"/>
                    <w:jc w:val="center"/>
                    <w:rPr>
                      <w:bCs/>
                      <w:sz w:val="32"/>
                      <w:szCs w:val="32"/>
                    </w:rPr>
                  </w:pPr>
                  <w:r>
                    <w:rPr>
                      <w:bCs/>
                      <w:sz w:val="32"/>
                      <w:szCs w:val="32"/>
                    </w:rPr>
                    <w:t xml:space="preserve">действуют с </w:t>
                  </w:r>
                  <w:r>
                    <w:rPr>
                      <w:bCs/>
                      <w:sz w:val="32"/>
                      <w:szCs w:val="32"/>
                    </w:rPr>
                    <w:t xml:space="preserve">29.</w:t>
                  </w:r>
                  <w:r>
                    <w:rPr>
                      <w:bCs/>
                      <w:sz w:val="32"/>
                      <w:szCs w:val="32"/>
                    </w:rPr>
                    <w:t xml:space="preserve">01.</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58"/>
              <w:jc w:val="center"/>
              <w:rPr>
                <w:rFonts w:ascii="Cambria" w:hAnsi="Cambria"/>
                <w:caps/>
                <w:sz w:val="32"/>
                <w:szCs w:val="32"/>
              </w:rPr>
            </w:pPr>
            <w:r>
              <w:rPr>
                <w:rFonts w:ascii="Cambria" w:hAnsi="Cambria"/>
                <w:sz w:val="32"/>
                <w:szCs w:val="32"/>
              </w:rPr>
              <w:t xml:space="preserve">ТАТАРСТАНСКИЙ </w:t>
            </w:r>
            <w:r>
              <w:rPr>
                <w:rFonts w:ascii="Cambria" w:hAnsi="Cambria"/>
                <w:sz w:val="32"/>
                <w:szCs w:val="32"/>
              </w:rPr>
              <w:t xml:space="preserve">Р</w:t>
            </w:r>
            <w:r>
              <w:rPr>
                <w:rFonts w:ascii="Cambria" w:hAnsi="Cambria"/>
                <w:sz w:val="32"/>
                <w:szCs w:val="32"/>
              </w:rPr>
              <w:t xml:space="preserve">Ф</w:t>
            </w:r>
            <w:r>
              <w:rPr>
                <w:rFonts w:ascii="Cambria" w:hAnsi="Cambria"/>
                <w:sz w:val="32"/>
                <w:szCs w:val="32"/>
              </w:rPr>
              <w:t xml:space="preserve"> АО </w:t>
            </w:r>
            <w:r>
              <w:rPr>
                <w:rFonts w:ascii="Cambria" w:hAnsi="Cambria"/>
                <w:caps/>
                <w:sz w:val="32"/>
                <w:szCs w:val="32"/>
              </w:rPr>
              <w:t xml:space="preserve"> «РОССЕЛЬХОЗБАНК» </w:t>
            </w:r>
            <w:r>
              <w:rPr>
                <w:rFonts w:ascii="Cambria" w:hAnsi="Cambria"/>
                <w:caps/>
                <w:sz w:val="32"/>
                <w:szCs w:val="32"/>
              </w:rPr>
            </w:r>
            <w:r>
              <w:rPr>
                <w:rFonts w:ascii="Cambria" w:hAnsi="Cambria"/>
                <w:caps/>
                <w:sz w:val="32"/>
                <w:szCs w:val="32"/>
              </w:rPr>
            </w:r>
          </w:p>
        </w:tc>
      </w:tr>
    </w:tbl>
    <w:p>
      <w:pPr>
        <w:pStyle w:val="1158"/>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r>
        <w:rPr>
          <w:rFonts w:ascii="Cambria" w:hAnsi="Cambria"/>
          <w:sz w:val="48"/>
          <w:szCs w:val="48"/>
        </w:rPr>
      </w:r>
    </w:p>
    <w:p>
      <w:pPr>
        <w:pStyle w:val="1142"/>
      </w:pPr>
      <w:r/>
      <w:r/>
    </w:p>
    <w:p>
      <w:pPr>
        <w:pStyle w:val="1142"/>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1142"/>
        <w:rPr>
          <w:b/>
          <w:caps/>
        </w:rPr>
      </w:pPr>
      <w:r>
        <w:rPr>
          <w:i/>
        </w:rPr>
        <w:br w:type="page" w:clear="all"/>
      </w:r>
      <w:r>
        <w:rPr>
          <w:b/>
          <w:caps/>
        </w:rPr>
        <w:t xml:space="preserve">Содержание</w:t>
      </w:r>
      <w:r>
        <w:rPr>
          <w:b/>
          <w:caps/>
        </w:rPr>
        <w:t xml:space="preserve">:</w:t>
      </w:r>
      <w:r>
        <w:rPr>
          <w:b/>
          <w:caps/>
        </w:rPr>
      </w:r>
      <w:r>
        <w:rPr>
          <w:b/>
          <w:caps/>
        </w:rPr>
      </w:r>
    </w:p>
    <w:p>
      <w:pPr>
        <w:pStyle w:val="1142"/>
        <w:rPr>
          <w:caps/>
        </w:rPr>
      </w:pPr>
      <w:r>
        <w:rPr>
          <w:caps/>
        </w:rPr>
      </w:r>
      <w:r>
        <w:rPr>
          <w:caps/>
        </w:rPr>
      </w:r>
      <w:r>
        <w:rPr>
          <w:caps/>
        </w:rPr>
      </w:r>
    </w:p>
    <w:p>
      <w:pPr>
        <w:pStyle w:val="1162"/>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1160"/>
          <w:color w:val="000000"/>
        </w:rPr>
        <w:fldChar w:fldCharType="begin"/>
      </w:r>
      <w:r>
        <w:rPr>
          <w:rStyle w:val="1160"/>
          <w:color w:val="000000"/>
        </w:rPr>
        <w:instrText xml:space="preserve"> </w:instrText>
      </w:r>
      <w:r>
        <w:instrText xml:space="preserve">HYPERLINK \l "_Toc170984446"</w:instrText>
      </w:r>
      <w:r>
        <w:rPr>
          <w:rStyle w:val="1160"/>
          <w:color w:val="000000"/>
        </w:rPr>
        <w:instrText xml:space="preserve"> </w:instrText>
      </w:r>
      <w:r>
        <w:rPr>
          <w:rStyle w:val="1160"/>
          <w:color w:val="000000"/>
        </w:rPr>
        <w:fldChar w:fldCharType="separate"/>
      </w:r>
      <w:r>
        <w:rPr>
          <w:rStyle w:val="1160"/>
          <w:color w:val="000000"/>
        </w:rPr>
        <w:t xml:space="preserve">1.</w:t>
      </w:r>
      <w:r>
        <w:rPr>
          <w:rFonts w:ascii="Calibri" w:hAnsi="Calibri"/>
          <w:bCs w:val="0"/>
          <w:caps w:val="0"/>
          <w:szCs w:val="22"/>
        </w:rPr>
        <w:tab/>
      </w:r>
      <w:r>
        <w:rPr>
          <w:rStyle w:val="1160"/>
          <w:color w:val="000000"/>
        </w:rPr>
        <w:t xml:space="preserve">Открытие и ведение счетов</w:t>
      </w:r>
      <w:r>
        <w:tab/>
      </w:r>
      <w:r>
        <w:t xml:space="preserve">3</w:t>
      </w:r>
      <w:r>
        <w:rPr>
          <w:rStyle w:val="1160"/>
          <w:color w:val="000000"/>
        </w:rPr>
        <w:fldChar w:fldCharType="end"/>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"_Toc170984447"</w:instrText>
      </w:r>
      <w:r>
        <w:rPr>
          <w:rStyle w:val="1160"/>
          <w:color w:val="000000"/>
        </w:rPr>
        <w:instrText xml:space="preserve"> </w:instrText>
      </w:r>
      <w:r>
        <w:rPr>
          <w:rStyle w:val="1160"/>
          <w:color w:val="000000"/>
        </w:rPr>
        <w:fldChar w:fldCharType="separate"/>
      </w:r>
      <w:r>
        <w:rPr>
          <w:rStyle w:val="1160"/>
          <w:color w:val="000000"/>
        </w:rPr>
        <w:t xml:space="preserve">2.</w:t>
      </w:r>
      <w:r>
        <w:rPr>
          <w:rFonts w:ascii="Calibri" w:hAnsi="Calibri"/>
          <w:bCs w:val="0"/>
          <w:caps w:val="0"/>
          <w:szCs w:val="22"/>
        </w:rPr>
        <w:tab/>
      </w:r>
      <w:r>
        <w:rPr>
          <w:rStyle w:val="1160"/>
          <w:color w:val="000000"/>
        </w:rPr>
        <w:t xml:space="preserve">Кассовые операции*</w:t>
      </w:r>
      <w:r>
        <w:tab/>
      </w:r>
      <w:r>
        <w:fldChar w:fldCharType="begin"/>
      </w:r>
      <w:r>
        <w:instrText xml:space="preserve"> PAGEREF _Toc170984447 \h </w:instrText>
      </w:r>
      <w:r>
        <w:fldChar w:fldCharType="separate"/>
      </w:r>
      <w:r>
        <w:t xml:space="preserve">2</w:t>
      </w:r>
      <w:r>
        <w:fldChar w:fldCharType="end"/>
      </w:r>
      <w:r>
        <w:rPr>
          <w:rStyle w:val="1160"/>
          <w:color w:val="000000"/>
        </w:rPr>
        <w:fldChar w:fldCharType="end"/>
      </w:r>
      <w:r>
        <w:rPr>
          <w:rStyle w:val="1160"/>
          <w:color w:val="000000"/>
          <w:sz w:val="22"/>
          <w:szCs w:val="22"/>
        </w:rPr>
        <w:t xml:space="preserve">3</w:t>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"_Toc170984448"</w:instrText>
      </w:r>
      <w:r>
        <w:rPr>
          <w:rStyle w:val="1160"/>
          <w:color w:val="000000"/>
        </w:rPr>
        <w:instrText xml:space="preserve"> </w:instrText>
      </w:r>
      <w:r>
        <w:rPr>
          <w:rStyle w:val="1160"/>
          <w:color w:val="000000"/>
        </w:rPr>
        <w:fldChar w:fldCharType="separate"/>
      </w:r>
      <w:r>
        <w:rPr>
          <w:rStyle w:val="1160"/>
          <w:color w:val="000000"/>
        </w:rPr>
        <w:t xml:space="preserve">3.</w:t>
      </w:r>
      <w:r>
        <w:rPr>
          <w:rFonts w:ascii="Calibri" w:hAnsi="Calibri"/>
          <w:bCs w:val="0"/>
          <w:caps w:val="0"/>
          <w:szCs w:val="22"/>
        </w:rPr>
        <w:tab/>
      </w:r>
      <w:r>
        <w:rPr>
          <w:rStyle w:val="1160"/>
          <w:color w:val="000000"/>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w:t>
      </w:r>
      <w:r>
        <w:fldChar w:fldCharType="end"/>
      </w:r>
      <w:r>
        <w:rPr>
          <w:rStyle w:val="1160"/>
          <w:color w:val="000000"/>
        </w:rPr>
        <w:fldChar w:fldCharType="end"/>
      </w:r>
      <w:r>
        <w:rPr>
          <w:rStyle w:val="1160"/>
          <w:color w:val="000000"/>
          <w:sz w:val="22"/>
          <w:szCs w:val="22"/>
        </w:rPr>
        <w:t xml:space="preserve">7</w:t>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"_Toc170984449"</w:instrText>
      </w:r>
      <w:r>
        <w:rPr>
          <w:rStyle w:val="1160"/>
          <w:color w:val="000000"/>
        </w:rPr>
        <w:instrText xml:space="preserve"> </w:instrText>
      </w:r>
      <w:r>
        <w:rPr>
          <w:rStyle w:val="1160"/>
          <w:color w:val="000000"/>
        </w:rPr>
        <w:fldChar w:fldCharType="separate"/>
      </w:r>
      <w:r>
        <w:rPr>
          <w:rStyle w:val="1160"/>
          <w:color w:val="000000"/>
        </w:rPr>
        <w:t xml:space="preserve">4.</w:t>
      </w:r>
      <w:r>
        <w:rPr>
          <w:rFonts w:ascii="Calibri" w:hAnsi="Calibri"/>
          <w:bCs w:val="0"/>
          <w:caps w:val="0"/>
          <w:szCs w:val="22"/>
        </w:rPr>
        <w:tab/>
      </w:r>
      <w:r>
        <w:rPr>
          <w:rStyle w:val="1160"/>
          <w:color w:val="000000"/>
        </w:rPr>
        <w:t xml:space="preserve">Операции с ценными бумагами</w:t>
      </w:r>
      <w:r>
        <w:tab/>
      </w:r>
      <w:r>
        <w:fldChar w:fldCharType="begin"/>
      </w:r>
      <w:r>
        <w:instrText xml:space="preserve"> PAGEREF _Toc170984449 \h </w:instrText>
      </w:r>
      <w:r>
        <w:fldChar w:fldCharType="separate"/>
      </w:r>
      <w:r>
        <w:t xml:space="preserve">3</w:t>
      </w:r>
      <w:r>
        <w:fldChar w:fldCharType="end"/>
      </w:r>
      <w:r>
        <w:rPr>
          <w:rStyle w:val="1160"/>
          <w:color w:val="000000"/>
        </w:rPr>
        <w:fldChar w:fldCharType="end"/>
      </w:r>
      <w:r>
        <w:rPr>
          <w:rStyle w:val="1160"/>
          <w:color w:val="000000"/>
          <w:sz w:val="22"/>
          <w:szCs w:val="22"/>
        </w:rPr>
        <w:t xml:space="preserve">2</w:t>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"_Toc170984450"</w:instrText>
      </w:r>
      <w:r>
        <w:rPr>
          <w:rStyle w:val="1160"/>
          <w:color w:val="000000"/>
        </w:rPr>
        <w:instrText xml:space="preserve"> </w:instrText>
      </w:r>
      <w:r>
        <w:rPr>
          <w:rStyle w:val="1160"/>
          <w:color w:val="000000"/>
        </w:rPr>
        <w:fldChar w:fldCharType="separate"/>
      </w:r>
      <w:r>
        <w:rPr>
          <w:rStyle w:val="1160"/>
          <w:color w:val="000000"/>
        </w:rPr>
        <w:t xml:space="preserve">5.</w:t>
      </w:r>
      <w:r>
        <w:rPr>
          <w:rFonts w:ascii="Calibri" w:hAnsi="Calibri"/>
          <w:bCs w:val="0"/>
          <w:caps w:val="0"/>
          <w:szCs w:val="22"/>
        </w:rPr>
        <w:tab/>
      </w:r>
      <w:r>
        <w:rPr>
          <w:rStyle w:val="1160"/>
          <w:color w:val="000000"/>
        </w:rPr>
        <w:t xml:space="preserve">Документарные операции</w:t>
      </w:r>
      <w:r>
        <w:tab/>
      </w:r>
      <w:r>
        <w:fldChar w:fldCharType="begin"/>
      </w:r>
      <w:r>
        <w:instrText xml:space="preserve"> PAGEREF _Toc170984450 \h </w:instrText>
      </w:r>
      <w:r>
        <w:fldChar w:fldCharType="separate"/>
      </w:r>
      <w:r>
        <w:t xml:space="preserve">3</w:t>
      </w:r>
      <w:r>
        <w:fldChar w:fldCharType="end"/>
      </w:r>
      <w:r>
        <w:rPr>
          <w:rStyle w:val="1160"/>
          <w:color w:val="000000"/>
        </w:rPr>
        <w:fldChar w:fldCharType="end"/>
      </w:r>
      <w:r>
        <w:rPr>
          <w:rStyle w:val="1160"/>
          <w:color w:val="000000"/>
          <w:sz w:val="22"/>
          <w:szCs w:val="22"/>
        </w:rPr>
        <w:t xml:space="preserve">3</w:t>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"_Toc170984451"</w:instrText>
      </w:r>
      <w:r>
        <w:rPr>
          <w:rStyle w:val="1160"/>
          <w:color w:val="000000"/>
        </w:rPr>
        <w:instrText xml:space="preserve"> </w:instrText>
      </w:r>
      <w:r>
        <w:rPr>
          <w:rStyle w:val="1160"/>
          <w:color w:val="000000"/>
        </w:rPr>
        <w:fldChar w:fldCharType="separate"/>
      </w:r>
      <w:r>
        <w:rPr>
          <w:rStyle w:val="1160"/>
          <w:color w:val="000000"/>
        </w:rPr>
        <w:t xml:space="preserve">6.</w:t>
      </w:r>
      <w:r>
        <w:rPr>
          <w:rFonts w:ascii="Calibri" w:hAnsi="Calibri"/>
          <w:bCs w:val="0"/>
          <w:caps w:val="0"/>
          <w:szCs w:val="22"/>
        </w:rPr>
        <w:tab/>
      </w:r>
      <w:r>
        <w:rPr>
          <w:rStyle w:val="1160"/>
          <w:color w:val="000000"/>
        </w:rPr>
        <w:t xml:space="preserve">Гарантийные операции</w:t>
      </w:r>
      <w:r>
        <w:tab/>
      </w:r>
      <w:r>
        <w:rPr>
          <w:rStyle w:val="1160"/>
          <w:color w:val="000000"/>
        </w:rPr>
        <w:fldChar w:fldCharType="end"/>
      </w:r>
      <w:r>
        <w:rPr>
          <w:rStyle w:val="1160"/>
          <w:color w:val="000000"/>
          <w:sz w:val="22"/>
          <w:szCs w:val="22"/>
        </w:rPr>
        <w:t xml:space="preserve">40</w:t>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"_Toc170984452"</w:instrText>
      </w:r>
      <w:r>
        <w:rPr>
          <w:rStyle w:val="1160"/>
          <w:color w:val="000000"/>
        </w:rPr>
        <w:instrText xml:space="preserve"> </w:instrText>
      </w:r>
      <w:r>
        <w:rPr>
          <w:rStyle w:val="1160"/>
          <w:color w:val="000000"/>
        </w:rPr>
        <w:fldChar w:fldCharType="separate"/>
      </w:r>
      <w:r>
        <w:rPr>
          <w:rStyle w:val="1160"/>
          <w:color w:val="000000"/>
        </w:rPr>
        <w:t xml:space="preserve">7.</w:t>
      </w:r>
      <w:r>
        <w:rPr>
          <w:rFonts w:ascii="Calibri" w:hAnsi="Calibri"/>
          <w:bCs w:val="0"/>
          <w:caps w:val="0"/>
          <w:szCs w:val="22"/>
        </w:rPr>
        <w:tab/>
      </w:r>
      <w:r>
        <w:rPr>
          <w:rStyle w:val="1160"/>
          <w:color w:val="000000"/>
        </w:rPr>
        <w:t xml:space="preserve">Дистанционное банковское обслуживание (ДБО)</w:t>
      </w:r>
      <w:r>
        <w:tab/>
      </w:r>
      <w:r>
        <w:rPr>
          <w:rStyle w:val="1160"/>
          <w:color w:val="000000"/>
        </w:rPr>
        <w:fldChar w:fldCharType="end"/>
      </w:r>
      <w:r>
        <w:rPr>
          <w:rStyle w:val="1160"/>
          <w:color w:val="000000"/>
          <w:sz w:val="22"/>
          <w:szCs w:val="22"/>
        </w:rPr>
        <w:t xml:space="preserve">42</w:t>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"_Toc170984453"</w:instrText>
      </w:r>
      <w:r>
        <w:rPr>
          <w:rStyle w:val="1160"/>
          <w:color w:val="000000"/>
        </w:rPr>
        <w:instrText xml:space="preserve"> </w:instrText>
      </w:r>
      <w:r>
        <w:rPr>
          <w:rStyle w:val="1160"/>
          <w:color w:val="000000"/>
        </w:rPr>
        <w:fldChar w:fldCharType="separate"/>
      </w:r>
      <w:r>
        <w:rPr>
          <w:rStyle w:val="1160"/>
          <w:color w:val="000000"/>
        </w:rPr>
        <w:t xml:space="preserve">8.</w:t>
      </w:r>
      <w:r>
        <w:rPr>
          <w:rFonts w:ascii="Calibri" w:hAnsi="Calibri"/>
          <w:bCs w:val="0"/>
          <w:caps w:val="0"/>
          <w:szCs w:val="22"/>
        </w:rPr>
        <w:tab/>
      </w:r>
      <w:r>
        <w:rPr>
          <w:rStyle w:val="1160"/>
          <w:color w:val="000000"/>
        </w:rPr>
        <w:t xml:space="preserve">Хранение ценностей клиентов в хранилище ценностей Банка</w:t>
      </w:r>
      <w:r>
        <w:tab/>
      </w:r>
      <w:r>
        <w:t xml:space="preserve">49</w:t>
      </w:r>
      <w:r>
        <w:rPr>
          <w:rStyle w:val="1160"/>
          <w:color w:val="000000"/>
        </w:rPr>
        <w:fldChar w:fldCharType="end"/>
      </w:r>
      <w:r>
        <w:rPr>
          <w:rFonts w:ascii="Calibri" w:hAnsi="Calibri"/>
          <w:bCs w:val="0"/>
          <w:caps w:val="0"/>
          <w:szCs w:val="22"/>
        </w:rPr>
      </w:r>
      <w:r>
        <w:rPr>
          <w:rFonts w:ascii="Calibri" w:hAnsi="Calibri"/>
          <w:bCs w:val="0"/>
          <w:caps w:val="0"/>
          <w:szCs w:val="22"/>
        </w:rPr>
      </w:r>
    </w:p>
    <w:p>
      <w:pPr>
        <w:pStyle w:val="1162"/>
        <w:tabs>
          <w:tab w:val="left" w:pos="48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"_Toc170984454"</w:instrText>
      </w:r>
      <w:r>
        <w:rPr>
          <w:rStyle w:val="1160"/>
          <w:color w:val="000000"/>
        </w:rPr>
        <w:instrText xml:space="preserve"> </w:instrText>
      </w:r>
      <w:r>
        <w:rPr>
          <w:rStyle w:val="1160"/>
          <w:color w:val="000000"/>
        </w:rPr>
        <w:fldChar w:fldCharType="separate"/>
      </w:r>
      <w:r>
        <w:rPr>
          <w:rStyle w:val="1160"/>
          <w:color w:val="000000"/>
        </w:rPr>
        <w:t xml:space="preserve">9.</w:t>
      </w:r>
      <w:r>
        <w:rPr>
          <w:rFonts w:ascii="Calibri" w:hAnsi="Calibri"/>
          <w:bCs w:val="0"/>
          <w:caps w:val="0"/>
          <w:szCs w:val="22"/>
        </w:rPr>
        <w:tab/>
      </w:r>
      <w:r>
        <w:rPr>
          <w:rStyle w:val="1160"/>
          <w:color w:val="000000"/>
        </w:rPr>
        <w:t xml:space="preserve">Операции по предоставлению клиентам в аренду индивидуальных сейфовых ячеек</w:t>
      </w:r>
      <w:r>
        <w:tab/>
      </w:r>
      <w:r>
        <w:t xml:space="preserve">49</w:t>
      </w:r>
      <w:r>
        <w:rPr>
          <w:rStyle w:val="1160"/>
          <w:color w:val="000000"/>
        </w:rPr>
        <w:fldChar w:fldCharType="end"/>
      </w:r>
      <w:r>
        <w:rPr>
          <w:rFonts w:ascii="Calibri" w:hAnsi="Calibri"/>
          <w:bCs w:val="0"/>
          <w:caps w:val="0"/>
          <w:szCs w:val="22"/>
        </w:rPr>
      </w:r>
      <w:r>
        <w:rPr>
          <w:rFonts w:ascii="Calibri" w:hAnsi="Calibri"/>
          <w:bCs w:val="0"/>
          <w:caps w:val="0"/>
          <w:szCs w:val="22"/>
        </w:rPr>
      </w:r>
    </w:p>
    <w:p>
      <w:pPr>
        <w:pStyle w:val="1162"/>
        <w:tabs>
          <w:tab w:val="left" w:pos="72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"_Toc170984455"</w:instrText>
      </w:r>
      <w:r>
        <w:rPr>
          <w:rStyle w:val="1160"/>
          <w:color w:val="000000"/>
        </w:rPr>
        <w:instrText xml:space="preserve"> </w:instrText>
      </w:r>
      <w:r>
        <w:rPr>
          <w:rStyle w:val="1160"/>
          <w:color w:val="000000"/>
        </w:rPr>
        <w:fldChar w:fldCharType="separate"/>
      </w:r>
      <w:r>
        <w:rPr>
          <w:rStyle w:val="1160"/>
          <w:color w:val="000000"/>
        </w:rPr>
        <w:t xml:space="preserve">10.</w:t>
      </w:r>
      <w:r>
        <w:rPr>
          <w:rFonts w:ascii="Calibri" w:hAnsi="Calibri"/>
          <w:bCs w:val="0"/>
          <w:caps w:val="0"/>
          <w:szCs w:val="22"/>
        </w:rPr>
        <w:tab/>
      </w:r>
      <w:r>
        <w:rPr>
          <w:rStyle w:val="1160"/>
          <w:color w:val="000000"/>
        </w:rPr>
        <w:t xml:space="preserve">Услуги инкассации</w:t>
      </w:r>
      <w:r>
        <w:tab/>
      </w:r>
      <w:r>
        <w:rPr>
          <w:rStyle w:val="1160"/>
          <w:color w:val="000000"/>
        </w:rPr>
        <w:fldChar w:fldCharType="end"/>
      </w:r>
      <w:r>
        <w:rPr>
          <w:rStyle w:val="1160"/>
          <w:color w:val="000000"/>
          <w:sz w:val="22"/>
          <w:szCs w:val="22"/>
        </w:rPr>
        <w:t xml:space="preserve">50</w:t>
      </w:r>
      <w:r>
        <w:rPr>
          <w:rFonts w:ascii="Calibri" w:hAnsi="Calibri"/>
          <w:bCs w:val="0"/>
          <w:caps w:val="0"/>
          <w:szCs w:val="22"/>
        </w:rPr>
      </w:r>
      <w:r>
        <w:rPr>
          <w:rFonts w:ascii="Calibri" w:hAnsi="Calibri"/>
          <w:bCs w:val="0"/>
          <w:caps w:val="0"/>
          <w:szCs w:val="22"/>
        </w:rPr>
      </w:r>
    </w:p>
    <w:p>
      <w:pPr>
        <w:pStyle w:val="1162"/>
        <w:tabs>
          <w:tab w:val="left" w:pos="72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"_Toc170984456"</w:instrText>
      </w:r>
      <w:r>
        <w:rPr>
          <w:rStyle w:val="1160"/>
          <w:color w:val="000000"/>
        </w:rPr>
        <w:instrText xml:space="preserve"> </w:instrText>
      </w:r>
      <w:r>
        <w:rPr>
          <w:rStyle w:val="1160"/>
          <w:color w:val="000000"/>
        </w:rPr>
        <w:fldChar w:fldCharType="separate"/>
      </w:r>
      <w:r>
        <w:rPr>
          <w:rStyle w:val="1160"/>
          <w:color w:val="000000"/>
        </w:rPr>
        <w:t xml:space="preserve">11.</w:t>
      </w:r>
      <w:r>
        <w:rPr>
          <w:rFonts w:ascii="Calibri" w:hAnsi="Calibri"/>
          <w:bCs w:val="0"/>
          <w:caps w:val="0"/>
          <w:szCs w:val="22"/>
        </w:rPr>
        <w:tab/>
      </w:r>
      <w:r>
        <w:rPr>
          <w:rStyle w:val="1160"/>
          <w:color w:val="000000"/>
        </w:rPr>
        <w:t xml:space="preserve">Операции по покупке-продаже иностранной валюты</w:t>
      </w:r>
      <w:r>
        <w:tab/>
      </w:r>
      <w:r>
        <w:rPr>
          <w:rStyle w:val="1160"/>
          <w:color w:val="000000"/>
        </w:rPr>
        <w:fldChar w:fldCharType="end"/>
      </w:r>
      <w:r>
        <w:rPr>
          <w:rStyle w:val="1160"/>
          <w:color w:val="000000"/>
          <w:sz w:val="22"/>
          <w:szCs w:val="22"/>
        </w:rPr>
        <w:t xml:space="preserve">51</w:t>
      </w:r>
      <w:r>
        <w:rPr>
          <w:rFonts w:ascii="Calibri" w:hAnsi="Calibri"/>
          <w:bCs w:val="0"/>
          <w:caps w:val="0"/>
          <w:szCs w:val="22"/>
        </w:rPr>
      </w:r>
      <w:r>
        <w:rPr>
          <w:rFonts w:ascii="Calibri" w:hAnsi="Calibri"/>
          <w:bCs w:val="0"/>
          <w:caps w:val="0"/>
          <w:szCs w:val="22"/>
        </w:rPr>
      </w:r>
    </w:p>
    <w:p>
      <w:pPr>
        <w:pStyle w:val="1162"/>
        <w:tabs>
          <w:tab w:val="left" w:pos="72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"_Toc170984457"</w:instrText>
      </w:r>
      <w:r>
        <w:rPr>
          <w:rStyle w:val="1160"/>
          <w:color w:val="000000"/>
        </w:rPr>
        <w:instrText xml:space="preserve"> </w:instrText>
      </w:r>
      <w:r>
        <w:rPr>
          <w:rStyle w:val="1160"/>
          <w:color w:val="000000"/>
        </w:rPr>
        <w:fldChar w:fldCharType="separate"/>
      </w:r>
      <w:r>
        <w:rPr>
          <w:rStyle w:val="1160"/>
          <w:color w:val="000000"/>
        </w:rPr>
        <w:t xml:space="preserve">12.</w:t>
      </w:r>
      <w:r>
        <w:rPr>
          <w:rFonts w:ascii="Calibri" w:hAnsi="Calibri"/>
          <w:bCs w:val="0"/>
          <w:caps w:val="0"/>
          <w:szCs w:val="22"/>
        </w:rPr>
        <w:tab/>
      </w:r>
      <w:r>
        <w:rPr>
          <w:rStyle w:val="1160"/>
          <w:color w:val="000000"/>
        </w:rPr>
        <w:t xml:space="preserve">Кредитные операции</w:t>
      </w:r>
      <w:r>
        <w:tab/>
      </w:r>
      <w:r>
        <w:rPr>
          <w:rStyle w:val="1160"/>
          <w:color w:val="000000"/>
        </w:rPr>
        <w:fldChar w:fldCharType="end"/>
      </w:r>
      <w:r>
        <w:rPr>
          <w:rStyle w:val="1160"/>
          <w:color w:val="000000"/>
          <w:sz w:val="22"/>
          <w:szCs w:val="22"/>
        </w:rPr>
        <w:t xml:space="preserve">52</w:t>
      </w:r>
      <w:r>
        <w:rPr>
          <w:rFonts w:ascii="Calibri" w:hAnsi="Calibri"/>
          <w:bCs w:val="0"/>
          <w:caps w:val="0"/>
          <w:szCs w:val="22"/>
        </w:rPr>
      </w:r>
      <w:r>
        <w:rPr>
          <w:rFonts w:ascii="Calibri" w:hAnsi="Calibri"/>
          <w:bCs w:val="0"/>
          <w:caps w:val="0"/>
          <w:szCs w:val="22"/>
        </w:rPr>
      </w:r>
    </w:p>
    <w:p>
      <w:pPr>
        <w:pStyle w:val="1162"/>
        <w:tabs>
          <w:tab w:val="left" w:pos="720" w:leader="none"/>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"_Toc170984458"</w:instrText>
      </w:r>
      <w:r>
        <w:rPr>
          <w:rStyle w:val="1160"/>
          <w:color w:val="000000"/>
        </w:rPr>
        <w:instrText xml:space="preserve"> </w:instrText>
      </w:r>
      <w:r>
        <w:rPr>
          <w:rStyle w:val="1160"/>
          <w:color w:val="000000"/>
        </w:rPr>
        <w:fldChar w:fldCharType="separate"/>
      </w:r>
      <w:r>
        <w:rPr>
          <w:rStyle w:val="1160"/>
          <w:color w:val="000000"/>
        </w:rPr>
        <w:t xml:space="preserve">13.</w:t>
      </w:r>
      <w:r>
        <w:rPr>
          <w:rFonts w:ascii="Calibri" w:hAnsi="Calibri"/>
          <w:bCs w:val="0"/>
          <w:caps w:val="0"/>
          <w:szCs w:val="22"/>
        </w:rPr>
        <w:tab/>
      </w:r>
      <w:r>
        <w:rPr>
          <w:rStyle w:val="1160"/>
          <w:color w:val="000000"/>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rPr>
          <w:rStyle w:val="1160"/>
          <w:color w:val="000000"/>
        </w:rPr>
        <w:fldChar w:fldCharType="end"/>
      </w:r>
      <w:r>
        <w:rPr>
          <w:rStyle w:val="1160"/>
          <w:color w:val="000000"/>
          <w:sz w:val="22"/>
          <w:szCs w:val="22"/>
        </w:rPr>
        <w:t xml:space="preserve">63</w:t>
      </w:r>
      <w:r>
        <w:rPr>
          <w:rFonts w:ascii="Calibri" w:hAnsi="Calibri"/>
          <w:bCs w:val="0"/>
          <w:caps w:val="0"/>
          <w:szCs w:val="22"/>
        </w:rPr>
      </w:r>
      <w:r>
        <w:rPr>
          <w:rFonts w:ascii="Calibri" w:hAnsi="Calibri"/>
          <w:bCs w:val="0"/>
          <w:caps w:val="0"/>
          <w:szCs w:val="22"/>
        </w:rPr>
      </w:r>
    </w:p>
    <w:p>
      <w:pPr>
        <w:pStyle w:val="1162"/>
        <w:tabs>
          <w:tab w:val="right" w:pos="9889" w:leader="dot"/>
        </w:tabs>
        <w:rPr>
          <w:rFonts w:ascii="Calibri" w:hAnsi="Calibri"/>
          <w:bCs w:val="0"/>
          <w:caps w:val="0"/>
          <w:szCs w:val="22"/>
          <w:lang w:val="en-US"/>
        </w:rPr>
      </w:pPr>
      <w:r>
        <w:rPr>
          <w:rStyle w:val="1160"/>
          <w:color w:val="000000"/>
        </w:rPr>
        <w:fldChar w:fldCharType="begin"/>
      </w:r>
      <w:r>
        <w:rPr>
          <w:rStyle w:val="1160"/>
          <w:color w:val="000000"/>
        </w:rPr>
        <w:instrText xml:space="preserve"> </w:instrText>
      </w:r>
      <w:r>
        <w:instrText xml:space="preserve">HYPERLINK \l "_Toc170984459"</w:instrText>
      </w:r>
      <w:r>
        <w:rPr>
          <w:rStyle w:val="1160"/>
          <w:color w:val="000000"/>
        </w:rPr>
        <w:instrText xml:space="preserve"> </w:instrText>
      </w:r>
      <w:r>
        <w:rPr>
          <w:rStyle w:val="1160"/>
          <w:color w:val="000000"/>
        </w:rPr>
        <w:fldChar w:fldCharType="separate"/>
      </w:r>
      <w:r>
        <w:rPr>
          <w:rStyle w:val="1160"/>
          <w:color w:val="000000"/>
        </w:rPr>
        <w:t xml:space="preserve">14. Депозитарные услуги**</w:t>
      </w:r>
      <w:r>
        <w:tab/>
      </w:r>
      <w:r>
        <w:rPr>
          <w:rStyle w:val="1160"/>
          <w:color w:val="000000"/>
        </w:rPr>
        <w:fldChar w:fldCharType="end"/>
      </w:r>
      <w:r>
        <w:rPr>
          <w:rStyle w:val="1160"/>
          <w:color w:val="000000"/>
          <w:sz w:val="22"/>
          <w:szCs w:val="22"/>
        </w:rPr>
        <w:t xml:space="preserve">65</w:t>
      </w:r>
      <w:r>
        <w:rPr>
          <w:rFonts w:ascii="Calibri" w:hAnsi="Calibri"/>
          <w:bCs w:val="0"/>
          <w:caps w:val="0"/>
          <w:szCs w:val="22"/>
          <w:lang w:val="en-US"/>
        </w:rPr>
      </w:r>
      <w:r>
        <w:rPr>
          <w:rFonts w:ascii="Calibri" w:hAnsi="Calibri"/>
          <w:bCs w:val="0"/>
          <w:caps w:val="0"/>
          <w:szCs w:val="22"/>
          <w:lang w:val="en-US"/>
        </w:rPr>
      </w:r>
    </w:p>
    <w:p>
      <w:pPr>
        <w:pStyle w:val="1162"/>
        <w:tabs>
          <w:tab w:val="right" w:pos="9889" w:leader="dot"/>
        </w:tabs>
        <w:rPr>
          <w:rFonts w:ascii="Calibri" w:hAnsi="Calibri"/>
          <w:bCs w:val="0"/>
          <w:caps w:val="0"/>
          <w:szCs w:val="22"/>
          <w:lang w:val="en-US"/>
        </w:rPr>
      </w:pPr>
      <w:r>
        <w:rPr>
          <w:rStyle w:val="1160"/>
          <w:color w:val="000000"/>
        </w:rPr>
        <w:fldChar w:fldCharType="begin"/>
      </w:r>
      <w:r>
        <w:rPr>
          <w:rStyle w:val="1160"/>
          <w:color w:val="000000"/>
        </w:rPr>
        <w:instrText xml:space="preserve"> </w:instrText>
      </w:r>
      <w:r>
        <w:instrText xml:space="preserve">HYPERLINK \l "_Toc170984460"</w:instrText>
      </w:r>
      <w:r>
        <w:rPr>
          <w:rStyle w:val="1160"/>
          <w:color w:val="000000"/>
        </w:rPr>
        <w:instrText xml:space="preserve"> </w:instrText>
      </w:r>
      <w:r>
        <w:rPr>
          <w:rStyle w:val="1160"/>
          <w:color w:val="000000"/>
        </w:rPr>
        <w:fldChar w:fldCharType="separate"/>
      </w:r>
      <w:r>
        <w:rPr>
          <w:rStyle w:val="1160"/>
          <w:color w:val="000000"/>
        </w:rPr>
        <w:t xml:space="preserve">15. Операции с монетами из драгоценных металлов</w:t>
      </w:r>
      <w:r>
        <w:tab/>
      </w:r>
      <w:r>
        <w:rPr>
          <w:rStyle w:val="1160"/>
          <w:color w:val="000000"/>
        </w:rPr>
        <w:fldChar w:fldCharType="end"/>
      </w:r>
      <w:r>
        <w:rPr>
          <w:rStyle w:val="1160"/>
          <w:color w:val="000000"/>
          <w:sz w:val="22"/>
          <w:szCs w:val="22"/>
        </w:rPr>
        <w:t xml:space="preserve">69</w:t>
      </w:r>
      <w:r>
        <w:rPr>
          <w:rFonts w:ascii="Calibri" w:hAnsi="Calibri"/>
          <w:bCs w:val="0"/>
          <w:caps w:val="0"/>
          <w:szCs w:val="22"/>
          <w:lang w:val="en-US"/>
        </w:rPr>
      </w:r>
      <w:r>
        <w:rPr>
          <w:rFonts w:ascii="Calibri" w:hAnsi="Calibri"/>
          <w:bCs w:val="0"/>
          <w:caps w:val="0"/>
          <w:szCs w:val="22"/>
          <w:lang w:val="en-US"/>
        </w:rPr>
      </w:r>
    </w:p>
    <w:p>
      <w:pPr>
        <w:pStyle w:val="1162"/>
        <w:tabs>
          <w:tab w:val="right" w:pos="9889" w:leader="dot"/>
        </w:tabs>
        <w:rPr>
          <w:rFonts w:ascii="Calibri" w:hAnsi="Calibri"/>
          <w:bCs w:val="0"/>
          <w:caps w:val="0"/>
          <w:szCs w:val="22"/>
          <w:lang w:val="en-US"/>
        </w:rPr>
      </w:pPr>
      <w:r>
        <w:rPr>
          <w:rStyle w:val="1160"/>
          <w:color w:val="000000"/>
        </w:rPr>
        <w:fldChar w:fldCharType="begin"/>
      </w:r>
      <w:r>
        <w:rPr>
          <w:rStyle w:val="1160"/>
          <w:color w:val="000000"/>
        </w:rPr>
        <w:instrText xml:space="preserve"> </w:instrText>
      </w:r>
      <w:r>
        <w:instrText xml:space="preserve">HYPERLINK \l "_Toc170984461"</w:instrText>
      </w:r>
      <w:r>
        <w:rPr>
          <w:rStyle w:val="1160"/>
          <w:color w:val="000000"/>
        </w:rPr>
        <w:instrText xml:space="preserve"> </w:instrText>
      </w:r>
      <w:r>
        <w:rPr>
          <w:rStyle w:val="1160"/>
          <w:color w:val="000000"/>
        </w:rPr>
        <w:fldChar w:fldCharType="separate"/>
      </w:r>
      <w:r>
        <w:rPr>
          <w:rStyle w:val="1160"/>
          <w:color w:val="000000"/>
        </w:rPr>
        <w:t xml:space="preserve">16. Операции с драгоценными металлами</w:t>
      </w:r>
      <w:r>
        <w:tab/>
      </w:r>
      <w:r>
        <w:rPr>
          <w:rStyle w:val="1160"/>
          <w:color w:val="000000"/>
        </w:rPr>
        <w:fldChar w:fldCharType="end"/>
      </w:r>
      <w:r>
        <w:rPr>
          <w:rStyle w:val="1160"/>
          <w:color w:val="000000"/>
          <w:sz w:val="22"/>
          <w:szCs w:val="22"/>
        </w:rPr>
        <w:t xml:space="preserve">70</w:t>
      </w:r>
      <w:r>
        <w:rPr>
          <w:rFonts w:ascii="Calibri" w:hAnsi="Calibri"/>
          <w:bCs w:val="0"/>
          <w:caps w:val="0"/>
          <w:szCs w:val="22"/>
          <w:lang w:val="en-US"/>
        </w:rPr>
      </w:r>
      <w:r>
        <w:rPr>
          <w:rFonts w:ascii="Calibri" w:hAnsi="Calibri"/>
          <w:bCs w:val="0"/>
          <w:caps w:val="0"/>
          <w:szCs w:val="22"/>
          <w:lang w:val="en-US"/>
        </w:rPr>
      </w:r>
    </w:p>
    <w:p>
      <w:pPr>
        <w:pStyle w:val="1162"/>
        <w:tabs>
          <w:tab w:val="right" w:pos="9889" w:leader="dot"/>
        </w:tabs>
        <w:rPr>
          <w:rFonts w:ascii="Calibri" w:hAnsi="Calibri"/>
          <w:bCs w:val="0"/>
          <w:caps w:val="0"/>
          <w:szCs w:val="22"/>
        </w:rPr>
      </w:pPr>
      <w:r>
        <w:rPr>
          <w:rStyle w:val="1160"/>
          <w:color w:val="000000"/>
        </w:rPr>
        <w:fldChar w:fldCharType="begin"/>
      </w:r>
      <w:r>
        <w:rPr>
          <w:rStyle w:val="1160"/>
          <w:color w:val="000000"/>
        </w:rPr>
        <w:instrText xml:space="preserve"> </w:instrText>
      </w:r>
      <w:r>
        <w:instrText xml:space="preserve">HYPERLINK \l "_Toc170984462"</w:instrText>
      </w:r>
      <w:r>
        <w:rPr>
          <w:rStyle w:val="1160"/>
          <w:color w:val="000000"/>
        </w:rPr>
        <w:instrText xml:space="preserve"> </w:instrText>
      </w:r>
      <w:r>
        <w:rPr>
          <w:rStyle w:val="1160"/>
          <w:color w:val="000000"/>
        </w:rPr>
        <w:fldChar w:fldCharType="separate"/>
      </w:r>
      <w:r>
        <w:rPr>
          <w:rStyle w:val="1160"/>
          <w:color w:val="000000"/>
        </w:rPr>
        <w:t xml:space="preserve">17. Обслуживание с использованием Торговой системы РСХБ - Дилинг АО «Россельхозбанк», Торговой системы РСХБ - Дилинг 2.0</w:t>
      </w:r>
      <w:r>
        <w:tab/>
      </w:r>
      <w:r>
        <w:rPr>
          <w:rStyle w:val="1160"/>
          <w:color w:val="000000"/>
        </w:rPr>
        <w:fldChar w:fldCharType="end"/>
      </w:r>
      <w:r>
        <w:rPr>
          <w:rStyle w:val="1160"/>
          <w:color w:val="000000"/>
          <w:sz w:val="22"/>
          <w:szCs w:val="22"/>
        </w:rPr>
        <w:t xml:space="preserve">71</w:t>
      </w:r>
      <w:r>
        <w:rPr>
          <w:rFonts w:ascii="Calibri" w:hAnsi="Calibri"/>
          <w:bCs w:val="0"/>
          <w:caps w:val="0"/>
          <w:szCs w:val="22"/>
        </w:rPr>
      </w:r>
      <w:r>
        <w:rPr>
          <w:rFonts w:ascii="Calibri" w:hAnsi="Calibri"/>
          <w:bCs w:val="0"/>
          <w:caps w:val="0"/>
          <w:szCs w:val="22"/>
        </w:rPr>
      </w:r>
    </w:p>
    <w:p>
      <w:pPr>
        <w:pStyle w:val="1162"/>
        <w:tabs>
          <w:tab w:val="right" w:pos="9889" w:leader="dot"/>
        </w:tabs>
        <w:rPr>
          <w:rFonts w:ascii="Calibri" w:hAnsi="Calibri"/>
          <w:bCs w:val="0"/>
          <w:caps w:val="0"/>
          <w:szCs w:val="22"/>
          <w:lang w:val="en-US"/>
        </w:rPr>
      </w:pPr>
      <w:r>
        <w:rPr>
          <w:rStyle w:val="1160"/>
          <w:color w:val="000000"/>
        </w:rPr>
        <w:fldChar w:fldCharType="begin"/>
      </w:r>
      <w:r>
        <w:rPr>
          <w:rStyle w:val="1160"/>
          <w:color w:val="000000"/>
        </w:rPr>
        <w:instrText xml:space="preserve"> </w:instrText>
      </w:r>
      <w:r>
        <w:instrText xml:space="preserve">HYPERLINK \l "_Toc170984463"</w:instrText>
      </w:r>
      <w:r>
        <w:rPr>
          <w:rStyle w:val="1160"/>
          <w:color w:val="000000"/>
        </w:rPr>
        <w:instrText xml:space="preserve"> </w:instrText>
      </w:r>
      <w:r>
        <w:rPr>
          <w:rStyle w:val="1160"/>
          <w:color w:val="000000"/>
        </w:rPr>
        <w:fldChar w:fldCharType="separate"/>
      </w:r>
      <w:r>
        <w:rPr>
          <w:rStyle w:val="1160"/>
          <w:color w:val="000000"/>
        </w:rPr>
        <w:t xml:space="preserve">18. Операци</w:t>
      </w:r>
      <w:bookmarkStart w:id="3" w:name="_Hlt170984464"/>
      <w:r>
        <w:rPr>
          <w:rStyle w:val="1160"/>
          <w:color w:val="000000"/>
        </w:rPr>
        <w:t xml:space="preserve">и</w:t>
      </w:r>
      <w:bookmarkEnd w:id="3"/>
      <w:r>
        <w:rPr>
          <w:rStyle w:val="1160"/>
          <w:color w:val="000000"/>
        </w:rPr>
        <w:t xml:space="preserve"> с использованием цифрового рубля</w:t>
      </w:r>
      <w:r>
        <w:tab/>
      </w:r>
      <w:r>
        <w:rPr>
          <w:rStyle w:val="1160"/>
          <w:color w:val="000000"/>
        </w:rPr>
        <w:fldChar w:fldCharType="end"/>
      </w:r>
      <w:r>
        <w:rPr>
          <w:rStyle w:val="1160"/>
          <w:color w:val="000000"/>
          <w:sz w:val="22"/>
          <w:szCs w:val="22"/>
        </w:rPr>
        <w:t xml:space="preserve">73</w:t>
      </w:r>
      <w:r>
        <w:rPr>
          <w:rFonts w:ascii="Calibri" w:hAnsi="Calibri"/>
          <w:bCs w:val="0"/>
          <w:caps w:val="0"/>
          <w:szCs w:val="22"/>
          <w:lang w:val="en-US"/>
        </w:rPr>
      </w:r>
      <w:r>
        <w:rPr>
          <w:rFonts w:ascii="Calibri" w:hAnsi="Calibri"/>
          <w:bCs w:val="0"/>
          <w:caps w:val="0"/>
          <w:szCs w:val="22"/>
          <w:lang w:val="en-US"/>
        </w:rPr>
      </w:r>
    </w:p>
    <w:p>
      <w:pPr>
        <w:pStyle w:val="1162"/>
        <w:tabs>
          <w:tab w:val="left" w:pos="480" w:leader="none"/>
          <w:tab w:val="right" w:pos="9889" w:leader="dot"/>
        </w:tabs>
        <w:rPr>
          <w:rStyle w:val="1160"/>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1160"/>
        </w:rPr>
      </w:r>
      <w:r>
        <w:rPr>
          <w:rStyle w:val="1160"/>
        </w:rPr>
      </w:r>
    </w:p>
    <w:p>
      <w:pPr>
        <w:pStyle w:val="1162"/>
        <w:tabs>
          <w:tab w:val="right" w:pos="9889" w:leader="dot"/>
        </w:tabs>
        <w:rPr>
          <w:rFonts w:ascii="Calibri" w:hAnsi="Calibri"/>
          <w:smallCaps/>
          <w:szCs w:val="22"/>
        </w:rPr>
      </w:pPr>
      <w:r>
        <w:rPr>
          <w:rFonts w:ascii="Calibri" w:hAnsi="Calibri"/>
          <w:smallCaps/>
          <w:szCs w:val="22"/>
        </w:rPr>
      </w:r>
      <w:r>
        <w:rPr>
          <w:rFonts w:ascii="Calibri" w:hAnsi="Calibri"/>
          <w:smallCaps/>
          <w:szCs w:val="22"/>
        </w:rPr>
      </w:r>
      <w:r>
        <w:rPr>
          <w:rFonts w:ascii="Calibri" w:hAnsi="Calibri"/>
          <w:smallCaps/>
          <w:szCs w:val="22"/>
        </w:rP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pPr>
      <w:r/>
      <w:r/>
    </w:p>
    <w:p>
      <w:pPr>
        <w:pStyle w:val="1142"/>
        <w:rPr>
          <w:lang w:val="en-US" w:eastAsia="en-US"/>
        </w:rPr>
      </w:pPr>
      <w:r>
        <w:rPr>
          <w:lang w:val="en-US" w:eastAsia="en-US"/>
        </w:rPr>
      </w:r>
      <w:r>
        <w:rPr>
          <w:lang w:val="en-US" w:eastAsia="en-US"/>
        </w:rPr>
      </w:r>
      <w:r>
        <w:rPr>
          <w:lang w:val="en-US" w:eastAsia="en-US"/>
        </w:rPr>
      </w:r>
    </w:p>
    <w:p>
      <w:pPr>
        <w:pStyle w:val="1142"/>
      </w:pPr>
      <w:r/>
      <w:r/>
    </w:p>
    <w:p>
      <w:pPr>
        <w:pStyle w:val="1142"/>
        <w:rPr>
          <w:sz w:val="20"/>
          <w:szCs w:val="20"/>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rPr>
          <w:sz w:val="20"/>
          <w:szCs w:val="20"/>
        </w:rPr>
      </w:r>
      <w:r>
        <w:rPr>
          <w:sz w:val="20"/>
          <w:szCs w:val="20"/>
        </w:rPr>
      </w:r>
    </w:p>
    <w:p>
      <w:pPr>
        <w:pStyle w:val="1146"/>
        <w:numPr>
          <w:ilvl w:val="0"/>
          <w:numId w:val="16"/>
        </w:numPr>
        <w:rPr>
          <w:lang w:val="ru-RU"/>
        </w:rPr>
      </w:pPr>
      <w:r/>
      <w:bookmarkStart w:id="20" w:name="_Toc170984446"/>
      <w:r>
        <w:rPr>
          <w:lang w:val="ru-RU"/>
        </w:rPr>
        <w:t xml:space="preserve">Открытие и ведение счетов</w:t>
      </w:r>
      <w:bookmarkEnd w:id="12"/>
      <w:r>
        <w:rPr>
          <w:lang w:val="ru-RU"/>
        </w:rPr>
      </w:r>
      <w:r>
        <w:rPr>
          <w:lang w:val="ru-RU"/>
        </w:rPr>
      </w:r>
    </w:p>
    <w:tbl>
      <w:tblPr>
        <w:tblW w:w="102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01"/>
        <w:gridCol w:w="2469"/>
        <w:gridCol w:w="360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2"/>
              <w:jc w:val="center"/>
              <w:rPr>
                <w:b/>
                <w:sz w:val="20"/>
                <w:szCs w:val="20"/>
              </w:rPr>
            </w:pPr>
            <w:r>
              <w:rPr>
                <w:b/>
                <w:sz w:val="20"/>
                <w:szCs w:val="20"/>
              </w:rPr>
              <w:t xml:space="preserve">№</w:t>
            </w:r>
            <w:r>
              <w:rPr>
                <w:b/>
                <w:sz w:val="20"/>
                <w:szCs w:val="20"/>
              </w:rPr>
            </w:r>
            <w:r>
              <w:rPr>
                <w:b/>
                <w:sz w:val="20"/>
                <w:szCs w:val="20"/>
              </w:rPr>
            </w:r>
          </w:p>
          <w:p>
            <w:pPr>
              <w:pStyle w:val="1142"/>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2"/>
              <w:jc w:val="center"/>
              <w:spacing w:before="120" w:after="120"/>
              <w:rPr>
                <w:sz w:val="20"/>
                <w:szCs w:val="20"/>
              </w:rPr>
            </w:pPr>
            <w:r>
              <w:rPr>
                <w:sz w:val="20"/>
                <w:szCs w:val="20"/>
              </w:rPr>
              <w:t xml:space="preserve">1.1.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center"/>
            <w:textDirection w:val="lrTb"/>
            <w:noWrap w:val="false"/>
          </w:tcPr>
          <w:p>
            <w:pPr>
              <w:pStyle w:val="1142"/>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sz w:val="20"/>
                <w:szCs w:val="20"/>
              </w:rPr>
            </w:pPr>
            <w:r>
              <w:rPr>
                <w:sz w:val="20"/>
                <w:szCs w:val="20"/>
              </w:rPr>
              <w:t xml:space="preserve">2500 руб.</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42"/>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4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Cs/>
                <w:sz w:val="20"/>
                <w:szCs w:val="20"/>
              </w:rPr>
            </w:pPr>
            <w:r>
              <w:rPr>
                <w:bCs/>
                <w:sz w:val="20"/>
                <w:szCs w:val="20"/>
              </w:rPr>
              <w:t xml:space="preserve">2 500 руб.</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r>
              <w:rPr>
                <w:rFonts w:eastAsia="Calibri"/>
                <w:sz w:val="20"/>
                <w:szCs w:val="20"/>
                <w:lang w:eastAsia="en-US"/>
              </w:rPr>
            </w:r>
          </w:p>
          <w:p>
            <w:pPr>
              <w:pStyle w:val="114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r>
              <w:rPr>
                <w:rFonts w:eastAsia="Calibri"/>
                <w:sz w:val="20"/>
                <w:szCs w:val="20"/>
                <w:lang w:eastAsia="en-US"/>
              </w:rPr>
            </w:r>
          </w:p>
          <w:p>
            <w:pPr>
              <w:pStyle w:val="114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r>
              <w:rPr>
                <w:rFonts w:eastAsia="Calibri"/>
                <w:sz w:val="20"/>
                <w:szCs w:val="20"/>
                <w:lang w:eastAsia="en-US"/>
              </w:rPr>
            </w:r>
          </w:p>
          <w:p>
            <w:pPr>
              <w:pStyle w:val="114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r>
              <w:rPr>
                <w:rFonts w:eastAsia="Calibri"/>
                <w:sz w:val="20"/>
                <w:szCs w:val="20"/>
                <w:lang w:eastAsia="en-US"/>
              </w:rPr>
            </w:r>
          </w:p>
          <w:p>
            <w:pPr>
              <w:pStyle w:val="114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r>
              <w:rPr>
                <w:rFonts w:eastAsia="Calibri"/>
                <w:sz w:val="20"/>
                <w:szCs w:val="20"/>
                <w:lang w:eastAsia="en-US"/>
              </w:rPr>
            </w:r>
          </w:p>
          <w:p>
            <w:pPr>
              <w:pStyle w:val="1142"/>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2"/>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90"/>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90"/>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42"/>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42"/>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42"/>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42"/>
              <w:jc w:val="both"/>
              <w:spacing w:before="120"/>
              <w:rPr>
                <w:color w:val="000000"/>
                <w:sz w:val="20"/>
                <w:szCs w:val="20"/>
              </w:rPr>
            </w:pPr>
            <w:r>
              <w:rPr>
                <w:color w:val="000000"/>
                <w:sz w:val="20"/>
                <w:szCs w:val="20"/>
              </w:rPr>
            </w:r>
            <w:r>
              <w:rPr>
                <w:color w:val="000000"/>
                <w:sz w:val="20"/>
                <w:szCs w:val="20"/>
              </w:rPr>
            </w:r>
            <w:r>
              <w:rPr>
                <w:color w:val="000000"/>
                <w:sz w:val="20"/>
                <w:szCs w:val="20"/>
              </w:rPr>
            </w:r>
          </w:p>
          <w:p>
            <w:pPr>
              <w:pStyle w:val="1142"/>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r>
              <w:rPr>
                <w:color w:val="000000"/>
                <w:sz w:val="20"/>
                <w:szCs w:val="20"/>
              </w:rPr>
            </w:r>
          </w:p>
          <w:p>
            <w:pPr>
              <w:pStyle w:val="1142"/>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r>
              <w:rPr>
                <w:color w:val="000000"/>
                <w:sz w:val="20"/>
                <w:szCs w:val="20"/>
              </w:rPr>
            </w:r>
          </w:p>
          <w:p>
            <w:pPr>
              <w:pStyle w:val="1142"/>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1142"/>
              <w:jc w:val="both"/>
              <w:tabs>
                <w:tab w:val="left" w:pos="447" w:leader="none"/>
              </w:tabs>
              <w:rPr>
                <w:color w:val="000000"/>
                <w:sz w:val="20"/>
                <w:szCs w:val="20"/>
              </w:rPr>
            </w:pPr>
            <w:r>
              <w:rPr>
                <w:color w:val="000000"/>
                <w:sz w:val="20"/>
                <w:szCs w:val="20"/>
              </w:rPr>
            </w:r>
            <w:r>
              <w:rPr>
                <w:color w:val="000000"/>
                <w:sz w:val="20"/>
                <w:szCs w:val="20"/>
              </w:rPr>
            </w:r>
            <w:r>
              <w:rPr>
                <w:color w:val="000000"/>
                <w:sz w:val="20"/>
                <w:szCs w:val="20"/>
              </w:rPr>
            </w:r>
          </w:p>
          <w:p>
            <w:pPr>
              <w:pStyle w:val="1142"/>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2"/>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2"/>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2"/>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42"/>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r>
              <w:rPr>
                <w:vanish/>
                <w:sz w:val="20"/>
                <w:szCs w:val="20"/>
              </w:rPr>
            </w:r>
          </w:p>
          <w:p>
            <w:pPr>
              <w:pStyle w:val="1142"/>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r>
              <w:rPr>
                <w:sz w:val="20"/>
                <w:szCs w:val="20"/>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90"/>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90"/>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90"/>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42"/>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42"/>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r>
              <w:rPr>
                <w:bCs/>
                <w:sz w:val="20"/>
                <w:szCs w:val="20"/>
              </w:rPr>
            </w:r>
          </w:p>
          <w:p>
            <w:pPr>
              <w:pStyle w:val="1142"/>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p>
            <w:pPr>
              <w:pStyle w:val="1142"/>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142"/>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1142"/>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4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4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4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r>
              <w:rPr>
                <w:sz w:val="20"/>
                <w:szCs w:val="20"/>
                <w:lang w:eastAsia="en-US"/>
              </w:rPr>
            </w:r>
          </w:p>
          <w:p>
            <w:pPr>
              <w:pStyle w:val="114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4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r>
              <w:rPr>
                <w:sz w:val="20"/>
                <w:szCs w:val="20"/>
                <w:lang w:eastAsia="en-US"/>
              </w:rPr>
            </w:r>
          </w:p>
          <w:p>
            <w:pPr>
              <w:pStyle w:val="1142"/>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42"/>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42"/>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42"/>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42"/>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rPr>
                <w:sz w:val="20"/>
                <w:szCs w:val="20"/>
              </w:rPr>
            </w:pPr>
            <w:r>
              <w:rPr>
                <w:sz w:val="20"/>
                <w:szCs w:val="20"/>
              </w:rPr>
              <w:t xml:space="preserve">550 руб.</w:t>
            </w:r>
            <w:r>
              <w:rPr>
                <w:sz w:val="20"/>
                <w:szCs w:val="20"/>
              </w:rPr>
            </w:r>
            <w:r>
              <w:rPr>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ind w:left="34"/>
              <w:spacing w:after="40"/>
              <w:rPr>
                <w:sz w:val="20"/>
                <w:szCs w:val="20"/>
                <w:lang w:eastAsia="en-US"/>
              </w:rPr>
            </w:pPr>
            <w:r>
              <w:rPr>
                <w:sz w:val="20"/>
                <w:szCs w:val="20"/>
                <w:lang w:eastAsia="en-US"/>
              </w:rPr>
            </w:r>
            <w:r>
              <w:rPr>
                <w:sz w:val="20"/>
                <w:szCs w:val="20"/>
                <w:lang w:eastAsia="en-US"/>
              </w:rPr>
            </w:r>
            <w:r>
              <w:rPr>
                <w:sz w:val="20"/>
                <w:szCs w:val="20"/>
                <w:lang w:eastAsia="en-US"/>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ind w:left="34"/>
              <w:spacing w:after="40"/>
              <w:rPr>
                <w:sz w:val="20"/>
                <w:szCs w:val="20"/>
              </w:rPr>
            </w:pPr>
            <w:r>
              <w:rPr>
                <w:sz w:val="20"/>
                <w:szCs w:val="20"/>
              </w:rPr>
            </w:r>
            <w:r>
              <w:rPr>
                <w:sz w:val="20"/>
                <w:szCs w:val="20"/>
              </w:rPr>
            </w:r>
            <w:r>
              <w:rPr>
                <w:sz w:val="20"/>
                <w:szCs w:val="20"/>
              </w:rPr>
            </w:r>
          </w:p>
          <w:p>
            <w:pPr>
              <w:pStyle w:val="1142"/>
              <w:jc w:val="both"/>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spacing w:after="40"/>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2"/>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42"/>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rPr>
                <w:bCs/>
                <w:sz w:val="20"/>
                <w:szCs w:val="20"/>
              </w:rPr>
            </w:pPr>
            <w:r>
              <w:rPr>
                <w:bCs/>
                <w:sz w:val="20"/>
                <w:szCs w:val="20"/>
              </w:rPr>
              <w:t xml:space="preserve">1.1.7.1.</w:t>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2"/>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2"/>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2"/>
              <w:jc w:val="center"/>
              <w:spacing w:after="120"/>
              <w:rPr>
                <w:sz w:val="20"/>
                <w:szCs w:val="20"/>
              </w:rPr>
            </w:pPr>
            <w:r>
              <w:rPr>
                <w:sz w:val="20"/>
                <w:szCs w:val="20"/>
              </w:rPr>
              <w:t xml:space="preserve">300 руб. </w:t>
            </w:r>
            <w:r>
              <w:rPr>
                <w:sz w:val="20"/>
                <w:szCs w:val="20"/>
              </w:rPr>
            </w:r>
            <w:r>
              <w:rPr>
                <w:sz w:val="20"/>
                <w:szCs w:val="20"/>
              </w:rPr>
            </w:r>
          </w:p>
          <w:p>
            <w:pPr>
              <w:pStyle w:val="1142"/>
              <w:jc w:val="center"/>
              <w:spacing w:after="120"/>
              <w:rPr>
                <w:sz w:val="20"/>
                <w:szCs w:val="20"/>
              </w:rPr>
            </w:pPr>
            <w:r>
              <w:rPr>
                <w:sz w:val="20"/>
                <w:szCs w:val="20"/>
              </w:rPr>
              <w:t xml:space="preserve">при ОБЩЕЙ СУММЕ </w:t>
            </w:r>
            <w:r>
              <w:rPr>
                <w:sz w:val="20"/>
                <w:szCs w:val="20"/>
              </w:rPr>
            </w:r>
            <w:r>
              <w:rPr>
                <w:sz w:val="20"/>
                <w:szCs w:val="20"/>
              </w:rPr>
            </w:r>
          </w:p>
          <w:p>
            <w:pPr>
              <w:pStyle w:val="1142"/>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42"/>
              <w:jc w:val="center"/>
              <w:spacing w:after="120"/>
              <w:rPr>
                <w:sz w:val="20"/>
                <w:szCs w:val="20"/>
              </w:rPr>
            </w:pPr>
            <w:r>
              <w:rPr>
                <w:sz w:val="20"/>
                <w:szCs w:val="20"/>
              </w:rPr>
              <w:t xml:space="preserve">1% от суммы </w:t>
            </w:r>
            <w:r>
              <w:rPr>
                <w:sz w:val="20"/>
                <w:szCs w:val="20"/>
              </w:rPr>
            </w:r>
            <w:r>
              <w:rPr>
                <w:sz w:val="20"/>
                <w:szCs w:val="20"/>
              </w:rPr>
            </w:r>
          </w:p>
          <w:p>
            <w:pPr>
              <w:pStyle w:val="1142"/>
              <w:jc w:val="center"/>
              <w:spacing w:after="120"/>
              <w:rPr>
                <w:sz w:val="20"/>
                <w:szCs w:val="20"/>
              </w:rPr>
            </w:pPr>
            <w:r>
              <w:rPr>
                <w:sz w:val="20"/>
                <w:szCs w:val="20"/>
              </w:rPr>
              <w:t xml:space="preserve">при ОБЩЕЙ СУММЕ</w:t>
            </w:r>
            <w:r>
              <w:rPr>
                <w:sz w:val="20"/>
                <w:szCs w:val="20"/>
              </w:rPr>
            </w:r>
            <w:r>
              <w:rPr>
                <w:sz w:val="20"/>
                <w:szCs w:val="20"/>
              </w:rPr>
            </w:r>
          </w:p>
          <w:p>
            <w:pPr>
              <w:pStyle w:val="1142"/>
              <w:jc w:val="center"/>
              <w:spacing w:after="120"/>
              <w:rPr>
                <w:sz w:val="20"/>
                <w:szCs w:val="20"/>
              </w:rPr>
            </w:pPr>
            <w:r>
              <w:rPr>
                <w:sz w:val="20"/>
                <w:szCs w:val="20"/>
              </w:rPr>
              <w:t xml:space="preserve">с 150 000,01 руб. до 300 000,00 руб. (включительно);</w:t>
            </w:r>
            <w:r>
              <w:rPr>
                <w:sz w:val="20"/>
                <w:szCs w:val="20"/>
              </w:rPr>
            </w:r>
            <w:r>
              <w:rPr>
                <w:sz w:val="20"/>
                <w:szCs w:val="20"/>
              </w:rPr>
            </w:r>
          </w:p>
          <w:p>
            <w:pPr>
              <w:pStyle w:val="1142"/>
              <w:jc w:val="center"/>
              <w:spacing w:after="120"/>
              <w:rPr>
                <w:sz w:val="20"/>
                <w:szCs w:val="20"/>
              </w:rPr>
            </w:pPr>
            <w:r>
              <w:rPr>
                <w:sz w:val="20"/>
                <w:szCs w:val="20"/>
              </w:rPr>
              <w:t xml:space="preserve">1,7% от суммы </w:t>
            </w:r>
            <w:r>
              <w:rPr>
                <w:sz w:val="20"/>
                <w:szCs w:val="20"/>
              </w:rPr>
            </w:r>
            <w:r>
              <w:rPr>
                <w:sz w:val="20"/>
                <w:szCs w:val="20"/>
              </w:rPr>
            </w:r>
          </w:p>
          <w:p>
            <w:pPr>
              <w:pStyle w:val="1142"/>
              <w:jc w:val="center"/>
              <w:spacing w:after="120"/>
              <w:rPr>
                <w:sz w:val="20"/>
                <w:szCs w:val="20"/>
              </w:rPr>
            </w:pPr>
            <w:r>
              <w:rPr>
                <w:sz w:val="20"/>
                <w:szCs w:val="20"/>
              </w:rPr>
              <w:t xml:space="preserve">при ОБЩЕЙ СУММЕ</w:t>
            </w:r>
            <w:r>
              <w:rPr>
                <w:sz w:val="20"/>
                <w:szCs w:val="20"/>
              </w:rPr>
            </w:r>
            <w:r>
              <w:rPr>
                <w:sz w:val="20"/>
                <w:szCs w:val="20"/>
              </w:rPr>
            </w:r>
          </w:p>
          <w:p>
            <w:pPr>
              <w:pStyle w:val="1142"/>
              <w:jc w:val="center"/>
              <w:spacing w:after="120"/>
              <w:rPr>
                <w:sz w:val="20"/>
                <w:szCs w:val="20"/>
              </w:rPr>
            </w:pPr>
            <w:r>
              <w:rPr>
                <w:sz w:val="20"/>
                <w:szCs w:val="20"/>
              </w:rPr>
              <w:t xml:space="preserve">с 300 000,01 руб. </w:t>
            </w:r>
            <w:r>
              <w:rPr>
                <w:sz w:val="20"/>
                <w:szCs w:val="20"/>
              </w:rPr>
            </w:r>
            <w:r>
              <w:rPr>
                <w:sz w:val="20"/>
                <w:szCs w:val="20"/>
              </w:rPr>
            </w:r>
          </w:p>
          <w:p>
            <w:pPr>
              <w:pStyle w:val="1142"/>
              <w:jc w:val="center"/>
              <w:spacing w:after="120"/>
              <w:rPr>
                <w:sz w:val="20"/>
                <w:szCs w:val="20"/>
              </w:rPr>
            </w:pPr>
            <w:r>
              <w:rPr>
                <w:sz w:val="20"/>
                <w:szCs w:val="20"/>
              </w:rPr>
              <w:t xml:space="preserve">до 2 000 000,00 руб. (включительно);</w:t>
            </w:r>
            <w:r>
              <w:rPr>
                <w:sz w:val="20"/>
                <w:szCs w:val="20"/>
              </w:rPr>
            </w:r>
            <w:r>
              <w:rPr>
                <w:sz w:val="20"/>
                <w:szCs w:val="20"/>
              </w:rPr>
            </w:r>
          </w:p>
          <w:p>
            <w:pPr>
              <w:pStyle w:val="1142"/>
              <w:jc w:val="center"/>
              <w:spacing w:after="120"/>
              <w:rPr>
                <w:sz w:val="20"/>
                <w:szCs w:val="20"/>
              </w:rPr>
            </w:pPr>
            <w:r>
              <w:rPr>
                <w:sz w:val="20"/>
                <w:szCs w:val="20"/>
              </w:rPr>
              <w:t xml:space="preserve">3,7% от суммы </w:t>
            </w:r>
            <w:r>
              <w:rPr>
                <w:sz w:val="20"/>
                <w:szCs w:val="20"/>
              </w:rPr>
            </w:r>
            <w:r>
              <w:rPr>
                <w:sz w:val="20"/>
                <w:szCs w:val="20"/>
              </w:rPr>
            </w:r>
          </w:p>
          <w:p>
            <w:pPr>
              <w:pStyle w:val="1142"/>
              <w:jc w:val="center"/>
              <w:spacing w:after="120"/>
              <w:rPr>
                <w:sz w:val="20"/>
                <w:szCs w:val="20"/>
              </w:rPr>
            </w:pPr>
            <w:r>
              <w:rPr>
                <w:sz w:val="20"/>
                <w:szCs w:val="20"/>
              </w:rPr>
              <w:t xml:space="preserve">при ОБЩЕЙ СУММЕ</w:t>
            </w:r>
            <w:r>
              <w:rPr>
                <w:sz w:val="20"/>
                <w:szCs w:val="20"/>
              </w:rPr>
            </w:r>
            <w:r>
              <w:rPr>
                <w:sz w:val="20"/>
                <w:szCs w:val="20"/>
              </w:rPr>
            </w:r>
          </w:p>
          <w:p>
            <w:pPr>
              <w:pStyle w:val="1142"/>
              <w:jc w:val="center"/>
              <w:spacing w:after="120"/>
              <w:rPr>
                <w:sz w:val="20"/>
                <w:szCs w:val="20"/>
              </w:rPr>
            </w:pPr>
            <w:r>
              <w:rPr>
                <w:sz w:val="20"/>
                <w:szCs w:val="20"/>
              </w:rPr>
              <w:t xml:space="preserve">с 2 000 000,01 руб. </w:t>
            </w:r>
            <w:r>
              <w:rPr>
                <w:sz w:val="20"/>
                <w:szCs w:val="20"/>
              </w:rPr>
            </w:r>
            <w:r>
              <w:rPr>
                <w:sz w:val="20"/>
                <w:szCs w:val="20"/>
              </w:rPr>
            </w:r>
          </w:p>
          <w:p>
            <w:pPr>
              <w:pStyle w:val="1142"/>
              <w:jc w:val="center"/>
              <w:spacing w:after="120"/>
              <w:rPr>
                <w:sz w:val="20"/>
                <w:szCs w:val="20"/>
              </w:rPr>
            </w:pPr>
            <w:r>
              <w:rPr>
                <w:sz w:val="20"/>
                <w:szCs w:val="20"/>
              </w:rPr>
              <w:t xml:space="preserve">до 5 000 000,00 руб. (включительно);</w:t>
            </w:r>
            <w:r>
              <w:rPr>
                <w:sz w:val="20"/>
                <w:szCs w:val="20"/>
              </w:rPr>
            </w:r>
            <w:r>
              <w:rPr>
                <w:sz w:val="20"/>
                <w:szCs w:val="20"/>
              </w:rPr>
            </w:r>
          </w:p>
          <w:p>
            <w:pPr>
              <w:pStyle w:val="1142"/>
              <w:jc w:val="center"/>
              <w:spacing w:after="120"/>
              <w:rPr>
                <w:sz w:val="20"/>
                <w:szCs w:val="20"/>
              </w:rPr>
            </w:pPr>
            <w:r>
              <w:rPr>
                <w:sz w:val="20"/>
                <w:szCs w:val="20"/>
              </w:rPr>
              <w:t xml:space="preserve">6% от суммы</w:t>
            </w:r>
            <w:r>
              <w:rPr>
                <w:sz w:val="20"/>
                <w:szCs w:val="20"/>
              </w:rPr>
            </w:r>
            <w:r>
              <w:rPr>
                <w:sz w:val="20"/>
                <w:szCs w:val="20"/>
              </w:rPr>
            </w:r>
          </w:p>
          <w:p>
            <w:pPr>
              <w:pStyle w:val="1142"/>
              <w:jc w:val="center"/>
              <w:spacing w:after="120"/>
              <w:rPr>
                <w:sz w:val="20"/>
                <w:szCs w:val="20"/>
              </w:rPr>
            </w:pPr>
            <w:r>
              <w:rPr>
                <w:sz w:val="20"/>
                <w:szCs w:val="20"/>
              </w:rPr>
              <w:t xml:space="preserve">при ОБЩЕЙ СУММЕ</w:t>
            </w:r>
            <w:r>
              <w:rPr>
                <w:sz w:val="20"/>
                <w:szCs w:val="20"/>
              </w:rPr>
            </w:r>
            <w:r>
              <w:rPr>
                <w:sz w:val="20"/>
                <w:szCs w:val="20"/>
              </w:rPr>
            </w:r>
          </w:p>
          <w:p>
            <w:pPr>
              <w:pStyle w:val="1142"/>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42"/>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42"/>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42"/>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42"/>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42"/>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42"/>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42"/>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42"/>
              <w:jc w:val="both"/>
              <w:rPr>
                <w:sz w:val="20"/>
                <w:szCs w:val="20"/>
              </w:rPr>
            </w:pPr>
            <w:r>
              <w:rPr>
                <w:sz w:val="20"/>
                <w:szCs w:val="20"/>
              </w:rPr>
              <w:t xml:space="preserve">- перечисление алиментов, пенсий,</w:t>
            </w:r>
            <w:r>
              <w:rPr>
                <w:sz w:val="20"/>
                <w:szCs w:val="20"/>
              </w:rPr>
            </w:r>
            <w:r>
              <w:rPr>
                <w:sz w:val="20"/>
                <w:szCs w:val="20"/>
              </w:rPr>
            </w:r>
          </w:p>
          <w:p>
            <w:pPr>
              <w:pStyle w:val="1142"/>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42"/>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42"/>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42"/>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42"/>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42"/>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42"/>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42"/>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42"/>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42"/>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42"/>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42"/>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42"/>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42"/>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42"/>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42"/>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gridSpan w:val="2"/>
            <w:tcBorders>
              <w:top w:val="none" w:color="FFFFFF" w:sz="255"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42"/>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2"/>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1142"/>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2"/>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bCs/>
                <w:sz w:val="22"/>
                <w:szCs w:val="22"/>
              </w:rPr>
            </w:pPr>
            <w:r>
              <w:rPr>
                <w:bCs/>
                <w:sz w:val="22"/>
                <w:szCs w:val="22"/>
              </w:rPr>
              <w:t xml:space="preserve">500 руб.</w:t>
            </w:r>
            <w:r>
              <w:rPr>
                <w:bCs/>
                <w:sz w:val="22"/>
                <w:szCs w:val="22"/>
              </w:rPr>
            </w:r>
            <w:r>
              <w:rPr>
                <w:bCs/>
                <w:sz w:val="22"/>
                <w:szCs w:val="22"/>
              </w:rPr>
            </w:r>
          </w:p>
          <w:p>
            <w:pPr>
              <w:pStyle w:val="1142"/>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4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142"/>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2"/>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r>
              <w:rPr>
                <w:sz w:val="20"/>
                <w:szCs w:val="20"/>
                <w:lang w:eastAsia="en-US"/>
              </w:rPr>
            </w:r>
          </w:p>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13" w:type="dxa"/>
            <w:vAlign w:val="top"/>
            <w:vMerge w:val="continue"/>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42"/>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42"/>
              <w:jc w:val="both"/>
              <w:spacing w:before="120" w:after="120"/>
              <w:rPr>
                <w:bCs/>
                <w:sz w:val="20"/>
                <w:szCs w:val="20"/>
              </w:rPr>
            </w:pPr>
            <w:r>
              <w:rPr>
                <w:bCs/>
                <w:sz w:val="20"/>
                <w:szCs w:val="20"/>
              </w:rPr>
            </w:r>
            <w:r>
              <w:rPr>
                <w:bCs/>
                <w:sz w:val="20"/>
                <w:szCs w:val="20"/>
              </w:rPr>
            </w:r>
            <w:r>
              <w:rPr>
                <w:bCs/>
                <w:sz w:val="20"/>
                <w:szCs w:val="20"/>
              </w:rPr>
            </w:r>
          </w:p>
          <w:p>
            <w:pPr>
              <w:pStyle w:val="1142"/>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both"/>
              <w:spacing w:before="120" w:after="120"/>
              <w:rPr>
                <w:bCs/>
                <w:sz w:val="20"/>
                <w:szCs w:val="20"/>
              </w:rPr>
            </w:pPr>
            <w:r>
              <w:rPr>
                <w:bCs/>
                <w:sz w:val="20"/>
                <w:szCs w:val="20"/>
              </w:rPr>
            </w:r>
            <w:r>
              <w:rPr>
                <w:bCs/>
                <w:sz w:val="20"/>
                <w:szCs w:val="20"/>
              </w:rPr>
            </w:r>
            <w:r>
              <w:rPr>
                <w:bCs/>
                <w:sz w:val="20"/>
                <w:szCs w:val="20"/>
              </w:rPr>
            </w:r>
          </w:p>
          <w:p>
            <w:pPr>
              <w:pStyle w:val="1142"/>
              <w:jc w:val="both"/>
              <w:spacing w:before="120" w:after="120"/>
              <w:rPr>
                <w:bCs/>
                <w:sz w:val="20"/>
                <w:szCs w:val="20"/>
              </w:rPr>
            </w:pPr>
            <w:r>
              <w:rPr>
                <w:bCs/>
                <w:sz w:val="20"/>
                <w:szCs w:val="20"/>
              </w:rPr>
            </w:r>
            <w:r>
              <w:rPr>
                <w:bCs/>
                <w:sz w:val="20"/>
                <w:szCs w:val="20"/>
              </w:rPr>
            </w:r>
            <w:r>
              <w:rPr>
                <w:bCs/>
                <w:sz w:val="20"/>
                <w:szCs w:val="20"/>
              </w:rPr>
            </w:r>
          </w:p>
          <w:p>
            <w:pPr>
              <w:pStyle w:val="1142"/>
              <w:jc w:val="both"/>
              <w:spacing w:before="120" w:after="120"/>
              <w:rPr>
                <w:bCs/>
                <w:sz w:val="20"/>
                <w:szCs w:val="20"/>
              </w:rPr>
            </w:pPr>
            <w:r>
              <w:rPr>
                <w:bCs/>
                <w:sz w:val="20"/>
                <w:szCs w:val="20"/>
              </w:rPr>
            </w:r>
            <w:r>
              <w:rPr>
                <w:bCs/>
                <w:sz w:val="20"/>
                <w:szCs w:val="20"/>
              </w:rPr>
            </w:r>
            <w:r>
              <w:rPr>
                <w:bCs/>
                <w:sz w:val="20"/>
                <w:szCs w:val="20"/>
              </w:rPr>
            </w:r>
          </w:p>
          <w:p>
            <w:pPr>
              <w:pStyle w:val="1142"/>
              <w:jc w:val="both"/>
              <w:spacing w:before="120" w:after="120"/>
              <w:rPr>
                <w:bCs/>
                <w:sz w:val="20"/>
                <w:szCs w:val="20"/>
              </w:rPr>
            </w:pPr>
            <w:r>
              <w:rPr>
                <w:bCs/>
                <w:sz w:val="20"/>
                <w:szCs w:val="20"/>
              </w:rPr>
            </w:r>
            <w:r>
              <w:rPr>
                <w:bCs/>
                <w:sz w:val="20"/>
                <w:szCs w:val="20"/>
              </w:rPr>
            </w:r>
            <w:r>
              <w:rPr>
                <w:bCs/>
                <w:sz w:val="20"/>
                <w:szCs w:val="20"/>
              </w:rPr>
            </w:r>
          </w:p>
          <w:p>
            <w:pPr>
              <w:pStyle w:val="1142"/>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p>
            <w:pPr>
              <w:pStyle w:val="1142"/>
              <w:jc w:val="both"/>
              <w:spacing w:before="120" w:after="120"/>
              <w:rPr>
                <w:bCs/>
                <w:sz w:val="20"/>
                <w:szCs w:val="20"/>
              </w:rPr>
            </w:pPr>
            <w:r>
              <w:rPr>
                <w:bCs/>
                <w:sz w:val="20"/>
                <w:szCs w:val="20"/>
              </w:rPr>
            </w:r>
            <w:r>
              <w:rPr>
                <w:bCs/>
                <w:sz w:val="20"/>
                <w:szCs w:val="20"/>
              </w:rPr>
            </w:r>
            <w:r>
              <w:rPr>
                <w:bCs/>
                <w:sz w:val="20"/>
                <w:szCs w:val="20"/>
              </w:rPr>
            </w:r>
          </w:p>
          <w:p>
            <w:pPr>
              <w:pStyle w:val="1142"/>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02" w:type="dxa"/>
            <w:vAlign w:val="top"/>
            <w:textDirection w:val="lrTb"/>
            <w:noWrap w:val="false"/>
          </w:tcPr>
          <w:p>
            <w:pPr>
              <w:pStyle w:val="1142"/>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r>
              <w:rPr>
                <w:bCs/>
                <w:sz w:val="20"/>
                <w:szCs w:val="20"/>
              </w:rPr>
            </w:r>
          </w:p>
          <w:p>
            <w:pPr>
              <w:pStyle w:val="1142"/>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r>
              <w:rPr>
                <w:bCs/>
                <w:sz w:val="20"/>
                <w:szCs w:val="20"/>
              </w:rPr>
            </w:r>
          </w:p>
          <w:p>
            <w:pPr>
              <w:pStyle w:val="1142"/>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r>
              <w:rPr>
                <w:bCs/>
                <w:sz w:val="20"/>
                <w:szCs w:val="20"/>
              </w:rPr>
            </w:r>
          </w:p>
          <w:p>
            <w:pPr>
              <w:pStyle w:val="1142"/>
              <w:jc w:val="both"/>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42"/>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vMerge w:val="restart"/>
            <w:textDirection w:val="lrTb"/>
            <w:noWrap w:val="false"/>
          </w:tcPr>
          <w:p>
            <w:pPr>
              <w:pStyle w:val="1142"/>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Cs/>
                <w:sz w:val="20"/>
                <w:szCs w:val="20"/>
              </w:rPr>
            </w:pPr>
            <w:r>
              <w:rPr>
                <w:bCs/>
                <w:sz w:val="20"/>
                <w:szCs w:val="20"/>
              </w:rPr>
              <w:t xml:space="preserve">3000 руб.</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ind w:left="-52" w:firstLine="52"/>
              <w:jc w:val="both"/>
              <w:spacing w:before="40"/>
              <w:rPr>
                <w:bCs/>
                <w:sz w:val="20"/>
                <w:szCs w:val="20"/>
              </w:rPr>
            </w:pPr>
            <w:r>
              <w:rPr>
                <w:bCs/>
                <w:sz w:val="20"/>
                <w:szCs w:val="20"/>
              </w:rPr>
            </w:r>
            <w:r>
              <w:rPr>
                <w:bCs/>
                <w:sz w:val="20"/>
                <w:szCs w:val="20"/>
              </w:rPr>
            </w:r>
            <w:r>
              <w:rPr>
                <w:bCs/>
                <w:sz w:val="20"/>
                <w:szCs w:val="20"/>
              </w:rPr>
            </w:r>
          </w:p>
          <w:p>
            <w:pPr>
              <w:pStyle w:val="1142"/>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gridSpan w:val="2"/>
            <w:tcBorders>
              <w:top w:val="single" w:color="000000" w:sz="4"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13" w:type="dxa"/>
            <w:vAlign w:val="top"/>
            <w:vMerge w:val="restart"/>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FFFFFF" w:sz="255" w:space="0"/>
              <w:left w:val="single" w:color="000000" w:sz="4" w:space="0"/>
              <w:right w:val="single" w:color="000000" w:sz="4" w:space="0"/>
            </w:tcBorders>
            <w:tcW w:w="3613" w:type="dxa"/>
            <w:vAlign w:val="top"/>
            <w:vMerge w:val="restart"/>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42"/>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gridSpan w:val="2"/>
            <w:tcBorders>
              <w:left w:val="single" w:color="000000" w:sz="4" w:space="0"/>
              <w:bottom w:val="none" w:color="FFFFFF" w:sz="255" w:space="0"/>
              <w:right w:val="single" w:color="000000" w:sz="4" w:space="0"/>
            </w:tcBorders>
            <w:tcW w:w="3613" w:type="dxa"/>
            <w:vAlign w:val="top"/>
            <w:vMerge w:val="continue"/>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gridSpan w:val="2"/>
            <w:tcBorders>
              <w:top w:val="none" w:color="FFFFFF" w:sz="255" w:space="0"/>
              <w:left w:val="single" w:color="000000" w:sz="4" w:space="0"/>
              <w:bottom w:val="none" w:color="FFFFFF" w:sz="255"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 </w:t>
            </w:r>
            <w:r>
              <w:rPr>
                <w:sz w:val="20"/>
                <w:szCs w:val="20"/>
                <w:lang w:eastAsia="en-US"/>
              </w:rPr>
              <w:t xml:space="preserve">% от совокупного среднедневного остатка </w:t>
            </w:r>
            <w:r>
              <w:rPr>
                <w:sz w:val="20"/>
                <w:szCs w:val="20"/>
                <w:lang w:eastAsia="en-US"/>
              </w:rPr>
            </w:r>
            <w:r>
              <w:rPr>
                <w:sz w:val="20"/>
                <w:szCs w:val="20"/>
                <w:lang w:eastAsia="en-US"/>
              </w:rPr>
            </w:r>
          </w:p>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FFFFFF" w:sz="255"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2"/>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r>
            <w:r>
              <w:rPr>
                <w:bCs/>
                <w:sz w:val="20"/>
                <w:szCs w:val="20"/>
              </w:rPr>
            </w:r>
            <w:r>
              <w:rPr>
                <w:bCs/>
                <w:sz w:val="20"/>
                <w:szCs w:val="20"/>
              </w:rPr>
            </w:r>
          </w:p>
          <w:p>
            <w:pPr>
              <w:pStyle w:val="1142"/>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r>
              <w:rPr>
                <w:bCs/>
                <w:sz w:val="20"/>
                <w:szCs w:val="20"/>
              </w:rPr>
            </w:r>
          </w:p>
          <w:p>
            <w:pPr>
              <w:pStyle w:val="1142"/>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r>
              <w:rPr>
                <w:bCs/>
                <w:sz w:val="20"/>
                <w:szCs w:val="20"/>
              </w:rPr>
            </w:r>
          </w:p>
          <w:p>
            <w:pPr>
              <w:pStyle w:val="1142"/>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r>
              <w:rPr>
                <w:bCs/>
                <w:sz w:val="20"/>
                <w:szCs w:val="20"/>
              </w:rPr>
            </w:r>
          </w:p>
          <w:p>
            <w:pPr>
              <w:pStyle w:val="1142"/>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p>
            <w:pPr>
              <w:pStyle w:val="1142"/>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142"/>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142"/>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142"/>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lang w:eastAsia="en-US"/>
              </w:rPr>
            </w:r>
            <w:r>
              <w:rPr>
                <w:rFonts w:eastAsia="Calibri"/>
                <w:sz w:val="22"/>
                <w:szCs w:val="22"/>
                <w:lang w:eastAsia="en-US"/>
              </w:rPr>
            </w:r>
          </w:p>
          <w:p>
            <w:pPr>
              <w:pStyle w:val="1142"/>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142"/>
              <w:jc w:val="both"/>
              <w:spacing w:before="40" w:after="40"/>
              <w:rPr>
                <w:bCs/>
                <w:sz w:val="20"/>
                <w:szCs w:val="20"/>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2"/>
                <w:szCs w:val="22"/>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rPr>
                <w:sz w:val="20"/>
                <w:szCs w:val="20"/>
              </w:rPr>
            </w:pPr>
            <w:r>
              <w:rPr>
                <w:sz w:val="20"/>
                <w:szCs w:val="20"/>
              </w:rPr>
              <w:t xml:space="preserve">0,33%</w:t>
            </w:r>
            <w:r>
              <w:rPr>
                <w:sz w:val="20"/>
                <w:szCs w:val="20"/>
              </w:rPr>
            </w:r>
            <w:r>
              <w:rPr>
                <w:sz w:val="20"/>
                <w:szCs w:val="20"/>
              </w:rPr>
            </w:r>
          </w:p>
          <w:p>
            <w:pPr>
              <w:pStyle w:val="1142"/>
              <w:jc w:val="center"/>
              <w:rPr>
                <w:sz w:val="20"/>
                <w:szCs w:val="20"/>
              </w:rPr>
            </w:pPr>
            <w:r>
              <w:rPr>
                <w:sz w:val="20"/>
                <w:szCs w:val="20"/>
              </w:rPr>
              <w:t xml:space="preserve">минимум </w:t>
            </w:r>
            <w:r>
              <w:rPr>
                <w:sz w:val="20"/>
                <w:szCs w:val="20"/>
              </w:rPr>
            </w:r>
            <w:r>
              <w:rPr>
                <w:sz w:val="20"/>
                <w:szCs w:val="20"/>
              </w:rPr>
            </w:r>
          </w:p>
          <w:p>
            <w:pPr>
              <w:pStyle w:val="1142"/>
              <w:jc w:val="center"/>
              <w:rPr>
                <w:sz w:val="20"/>
                <w:szCs w:val="20"/>
              </w:rPr>
            </w:pPr>
            <w:r>
              <w:rPr>
                <w:sz w:val="20"/>
                <w:szCs w:val="20"/>
              </w:rPr>
              <w:t xml:space="preserve">25 долл. США,</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r>
              <w:rPr>
                <w:color w:val="000000"/>
                <w:sz w:val="20"/>
                <w:szCs w:val="20"/>
              </w:rPr>
            </w:r>
          </w:p>
          <w:p>
            <w:pPr>
              <w:pStyle w:val="1142"/>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2"/>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center"/>
            <w:textDirection w:val="lrTb"/>
            <w:noWrap w:val="false"/>
          </w:tcPr>
          <w:p>
            <w:pPr>
              <w:pStyle w:val="1142"/>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2"/>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textDirection w:val="lrTb"/>
            <w:noWrap w:val="false"/>
          </w:tcPr>
          <w:p>
            <w:pPr>
              <w:pStyle w:val="1142"/>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42"/>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42"/>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42"/>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42"/>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42"/>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42"/>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
                <w:bCs/>
                <w:i/>
                <w:sz w:val="20"/>
                <w:szCs w:val="20"/>
              </w:rPr>
            </w:pPr>
            <w:r>
              <w:rPr>
                <w:b/>
                <w:bCs/>
                <w:i/>
                <w:sz w:val="20"/>
                <w:szCs w:val="20"/>
              </w:rPr>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72" w:type="dxa"/>
            <w:vAlign w:val="top"/>
            <w:textDirection w:val="lrTb"/>
            <w:noWrap w:val="false"/>
          </w:tcPr>
          <w:p>
            <w:pPr>
              <w:pStyle w:val="1142"/>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42"/>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42"/>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42"/>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42"/>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sz w:val="20"/>
                <w:szCs w:val="20"/>
              </w:rPr>
            </w:pPr>
            <w:r>
              <w:rPr>
                <w:sz w:val="20"/>
                <w:szCs w:val="20"/>
              </w:rPr>
              <w:t xml:space="preserve">250 руб. 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2"/>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42"/>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top"/>
            <w:vMerge w:val="restart"/>
            <w:textDirection w:val="lrTb"/>
            <w:noWrap w:val="false"/>
          </w:tcPr>
          <w:p>
            <w:pPr>
              <w:pStyle w:val="114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gridSpan w:val="2"/>
            <w:tcBorders>
              <w:top w:val="single" w:color="000000" w:sz="4" w:space="0"/>
              <w:left w:val="single" w:color="000000" w:sz="4" w:space="0"/>
              <w:bottom w:val="none" w:color="FFFFFF" w:sz="255"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42"/>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93"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201" w:type="dxa"/>
            <w:vAlign w:val="top"/>
            <w:textDirection w:val="lrTb"/>
            <w:noWrap w:val="false"/>
          </w:tcPr>
          <w:p>
            <w:pPr>
              <w:pStyle w:val="1142"/>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42"/>
              <w:jc w:val="center"/>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rPr>
                <w:bCs/>
                <w:sz w:val="20"/>
                <w:szCs w:val="20"/>
              </w:rPr>
            </w:pPr>
            <w:r>
              <w:rPr>
                <w:bCs/>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2"/>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2"/>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42"/>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rPr>
                <w:sz w:val="20"/>
                <w:szCs w:val="20"/>
              </w:rPr>
            </w:pPr>
            <w:r>
              <w:rPr>
                <w:sz w:val="20"/>
                <w:szCs w:val="20"/>
              </w:rPr>
              <w:t xml:space="preserve">Не взимается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201" w:type="dxa"/>
            <w:vAlign w:val="top"/>
            <w:textDirection w:val="lrTb"/>
            <w:noWrap w:val="false"/>
          </w:tcPr>
          <w:p>
            <w:pPr>
              <w:pStyle w:val="1142"/>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42"/>
              <w:jc w:val="center"/>
              <w:spacing w:before="40"/>
              <w:rPr>
                <w:bCs/>
                <w:sz w:val="20"/>
                <w:szCs w:val="20"/>
              </w:rPr>
            </w:pPr>
            <w:r>
              <w:rPr>
                <w:sz w:val="20"/>
                <w:szCs w:val="20"/>
              </w:rPr>
              <w:t xml:space="preserve">Не взимается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top"/>
            <w:vMerge w:val="restart"/>
            <w:textDirection w:val="lrTb"/>
            <w:noWrap w:val="false"/>
          </w:tcPr>
          <w:p>
            <w:pPr>
              <w:pStyle w:val="1142"/>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42"/>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201" w:type="dxa"/>
            <w:vAlign w:val="top"/>
            <w:textDirection w:val="lrTb"/>
            <w:noWrap w:val="false"/>
          </w:tcPr>
          <w:p>
            <w:pPr>
              <w:pStyle w:val="1142"/>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bCs/>
                <w:sz w:val="20"/>
                <w:szCs w:val="20"/>
              </w:rPr>
            </w:pPr>
            <w:r>
              <w:rPr>
                <w:sz w:val="20"/>
                <w:szCs w:val="20"/>
              </w:rPr>
              <w:t xml:space="preserve">Не взимается</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13"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42"/>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01"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42"/>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13" w:type="dxa"/>
            <w:vAlign w:val="top"/>
            <w:textDirection w:val="lrTb"/>
            <w:noWrap w:val="false"/>
          </w:tcPr>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42"/>
        <w:rPr>
          <w:lang w:eastAsia="en-US"/>
        </w:rPr>
      </w:pPr>
      <w:r>
        <w:rPr>
          <w:lang w:eastAsia="en-US"/>
        </w:rPr>
      </w:r>
      <w:r>
        <w:rPr>
          <w:lang w:eastAsia="en-US"/>
        </w:rPr>
      </w:r>
      <w:r>
        <w:rPr>
          <w:lang w:eastAsia="en-US"/>
        </w:rPr>
      </w:r>
    </w:p>
    <w:p>
      <w:pPr>
        <w:pStyle w:val="1142"/>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1142"/>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42"/>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142"/>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42"/>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42"/>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r>
        <w:rPr>
          <w:sz w:val="20"/>
          <w:szCs w:val="20"/>
        </w:rPr>
      </w:r>
    </w:p>
    <w:p>
      <w:pPr>
        <w:pStyle w:val="1142"/>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46"/>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2"/>
              <w:jc w:val="center"/>
              <w:rPr>
                <w:b/>
                <w:bCs/>
                <w:sz w:val="20"/>
                <w:szCs w:val="20"/>
              </w:rPr>
            </w:pPr>
            <w:r>
              <w:rPr>
                <w:b/>
                <w:bCs/>
                <w:sz w:val="20"/>
                <w:szCs w:val="20"/>
              </w:rPr>
              <w:t xml:space="preserve">№</w:t>
            </w:r>
            <w:r>
              <w:rPr>
                <w:b/>
                <w:bCs/>
                <w:sz w:val="20"/>
                <w:szCs w:val="20"/>
              </w:rPr>
            </w:r>
            <w:r>
              <w:rPr>
                <w:b/>
                <w:bCs/>
                <w:sz w:val="20"/>
                <w:szCs w:val="20"/>
              </w:rPr>
            </w:r>
          </w:p>
          <w:p>
            <w:pPr>
              <w:pStyle w:val="1142"/>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2"/>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42"/>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42"/>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2.2.</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2"/>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1142"/>
              <w:jc w:val="both"/>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2"/>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2.2.2.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2"/>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2"/>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2"/>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2"/>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2"/>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42"/>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42"/>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42"/>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2"/>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2"/>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2"/>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42"/>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2"/>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42"/>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42"/>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42"/>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2.4.</w:t>
            </w:r>
            <w:r>
              <w:rPr>
                <w:sz w:val="20"/>
                <w:szCs w:val="20"/>
                <w:lang w:eastAsia="en-US"/>
              </w:rPr>
            </w:r>
            <w:r>
              <w:rPr>
                <w:sz w:val="20"/>
                <w:szCs w:val="20"/>
                <w:lang w:eastAsia="en-US"/>
              </w:rPr>
            </w:r>
          </w:p>
          <w:p>
            <w:pPr>
              <w:pStyle w:val="1142"/>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2"/>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1142"/>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r>
              <w:rPr>
                <w:sz w:val="20"/>
                <w:szCs w:val="20"/>
                <w:lang w:eastAsia="en-US"/>
              </w:rPr>
            </w:r>
          </w:p>
          <w:p>
            <w:pPr>
              <w:pStyle w:val="1142"/>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2"/>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2"/>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2"/>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2.4.4.</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Прием и пересчет монет</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2"/>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42"/>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2.9. </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2"/>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2.9.1.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2"/>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r>
              <w:rPr>
                <w:sz w:val="20"/>
                <w:szCs w:val="20"/>
                <w:lang w:eastAsia="en-US"/>
              </w:rPr>
            </w:r>
          </w:p>
          <w:p>
            <w:pPr>
              <w:pStyle w:val="1142"/>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2.9.2.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2"/>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2.9.3.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42"/>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2.9.4.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2"/>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0,5% от суммы,</w:t>
            </w:r>
            <w:r>
              <w:rPr>
                <w:sz w:val="20"/>
                <w:szCs w:val="20"/>
                <w:lang w:eastAsia="en-US"/>
              </w:rPr>
            </w:r>
            <w:r>
              <w:rPr>
                <w:sz w:val="20"/>
                <w:szCs w:val="20"/>
                <w:lang w:eastAsia="en-US"/>
              </w:rPr>
            </w:r>
          </w:p>
          <w:p>
            <w:pPr>
              <w:pStyle w:val="1142"/>
              <w:jc w:val="center"/>
              <w:spacing w:before="40"/>
              <w:rPr>
                <w:sz w:val="20"/>
                <w:szCs w:val="20"/>
                <w:lang w:eastAsia="en-US"/>
              </w:rPr>
            </w:pPr>
            <w:r>
              <w:rPr>
                <w:sz w:val="20"/>
                <w:szCs w:val="20"/>
                <w:lang w:eastAsia="en-US"/>
              </w:rPr>
              <w:t xml:space="preserve">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r>
              <w:rPr>
                <w:sz w:val="20"/>
                <w:szCs w:val="20"/>
                <w:lang w:eastAsia="en-US"/>
              </w:rPr>
            </w:r>
          </w:p>
          <w:p>
            <w:pPr>
              <w:pStyle w:val="1142"/>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rPr>
                <w:sz w:val="20"/>
                <w:szCs w:val="20"/>
                <w:lang w:eastAsia="en-US"/>
              </w:rPr>
            </w:pPr>
            <w:r>
              <w:rPr>
                <w:sz w:val="20"/>
                <w:szCs w:val="20"/>
                <w:lang w:eastAsia="en-US"/>
              </w:rPr>
              <w:t xml:space="preserve">2,5% от суммы,</w:t>
            </w:r>
            <w:r>
              <w:rPr>
                <w:sz w:val="20"/>
                <w:szCs w:val="20"/>
                <w:lang w:eastAsia="en-US"/>
              </w:rPr>
            </w:r>
            <w:r>
              <w:rPr>
                <w:sz w:val="20"/>
                <w:szCs w:val="20"/>
                <w:lang w:eastAsia="en-US"/>
              </w:rPr>
            </w:r>
          </w:p>
          <w:p>
            <w:pPr>
              <w:pStyle w:val="1142"/>
              <w:jc w:val="center"/>
              <w:rPr>
                <w:sz w:val="20"/>
                <w:szCs w:val="20"/>
                <w:lang w:eastAsia="en-US"/>
              </w:rPr>
            </w:pPr>
            <w:r>
              <w:rPr>
                <w:sz w:val="20"/>
                <w:szCs w:val="20"/>
                <w:lang w:eastAsia="en-US"/>
              </w:rPr>
              <w:t xml:space="preserve">минимум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rPr>
                <w:sz w:val="20"/>
                <w:szCs w:val="20"/>
                <w:lang w:eastAsia="en-US"/>
              </w:rPr>
            </w:pPr>
            <w:r>
              <w:rPr>
                <w:sz w:val="20"/>
                <w:szCs w:val="20"/>
                <w:lang w:eastAsia="en-US"/>
              </w:rPr>
              <w:t xml:space="preserve">3,5% от суммы,</w:t>
            </w:r>
            <w:r>
              <w:rPr>
                <w:sz w:val="20"/>
                <w:szCs w:val="20"/>
                <w:lang w:eastAsia="en-US"/>
              </w:rPr>
            </w:r>
            <w:r>
              <w:rPr>
                <w:sz w:val="20"/>
                <w:szCs w:val="20"/>
                <w:lang w:eastAsia="en-US"/>
              </w:rPr>
            </w:r>
          </w:p>
          <w:p>
            <w:pPr>
              <w:pStyle w:val="1142"/>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center"/>
              <w:spacing w:before="40"/>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42"/>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2"/>
              <w:jc w:val="center"/>
              <w:spacing w:before="40"/>
              <w:rPr>
                <w:sz w:val="20"/>
                <w:szCs w:val="20"/>
                <w:lang w:eastAsia="en-US"/>
              </w:rPr>
            </w:pPr>
            <w:r>
              <w:rPr>
                <w:sz w:val="20"/>
                <w:szCs w:val="20"/>
                <w:lang w:eastAsia="en-US"/>
              </w:rPr>
              <w:t xml:space="preserve">2.15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2"/>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r>
              <w:rPr>
                <w:sz w:val="20"/>
                <w:szCs w:val="20"/>
                <w:lang w:eastAsia="en-US"/>
              </w:rPr>
            </w:r>
          </w:p>
          <w:p>
            <w:pPr>
              <w:pStyle w:val="1142"/>
              <w:jc w:val="both"/>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42"/>
              <w:jc w:val="both"/>
              <w:spacing w:before="40"/>
              <w:rPr>
                <w:sz w:val="20"/>
                <w:szCs w:val="20"/>
                <w:lang w:eastAsia="en-US"/>
              </w:rPr>
            </w:pPr>
            <w:r>
              <w:rPr>
                <w:sz w:val="20"/>
                <w:szCs w:val="20"/>
                <w:lang w:eastAsia="en-US"/>
              </w:rPr>
              <w:t xml:space="preserve">             </w:t>
            </w:r>
            <w:r>
              <w:rPr>
                <w:sz w:val="20"/>
                <w:szCs w:val="20"/>
                <w:lang w:eastAsia="en-US"/>
              </w:rPr>
              <w:t xml:space="preserve">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2"/>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1142"/>
        <w:rPr>
          <w:bCs/>
          <w:sz w:val="20"/>
          <w:szCs w:val="20"/>
          <w:u w:val="single"/>
        </w:rPr>
      </w:pPr>
      <w:r>
        <w:rPr>
          <w:bCs/>
          <w:sz w:val="20"/>
          <w:szCs w:val="20"/>
          <w:u w:val="single"/>
        </w:rPr>
      </w:r>
      <w:r>
        <w:rPr>
          <w:bCs/>
          <w:sz w:val="20"/>
          <w:szCs w:val="20"/>
          <w:u w:val="single"/>
        </w:rPr>
      </w:r>
      <w:r>
        <w:rPr>
          <w:bCs/>
          <w:sz w:val="20"/>
          <w:szCs w:val="20"/>
          <w:u w:val="single"/>
        </w:rPr>
      </w:r>
    </w:p>
    <w:p>
      <w:pPr>
        <w:pStyle w:val="1142"/>
        <w:rPr>
          <w:bCs/>
          <w:sz w:val="20"/>
          <w:szCs w:val="20"/>
          <w:u w:val="single"/>
        </w:rPr>
      </w:pPr>
      <w:r>
        <w:rPr>
          <w:bCs/>
          <w:sz w:val="20"/>
          <w:szCs w:val="20"/>
          <w:u w:val="single"/>
        </w:rPr>
      </w:r>
      <w:r>
        <w:rPr>
          <w:bCs/>
          <w:sz w:val="20"/>
          <w:szCs w:val="20"/>
          <w:u w:val="single"/>
        </w:rPr>
      </w:r>
      <w:r>
        <w:rPr>
          <w:bCs/>
          <w:sz w:val="20"/>
          <w:szCs w:val="20"/>
          <w:u w:val="single"/>
        </w:rPr>
      </w:r>
    </w:p>
    <w:p>
      <w:pPr>
        <w:pStyle w:val="1142"/>
        <w:rPr>
          <w:bCs/>
          <w:sz w:val="20"/>
          <w:szCs w:val="20"/>
          <w:u w:val="single"/>
        </w:rPr>
      </w:pPr>
      <w:r>
        <w:rPr>
          <w:bCs/>
          <w:sz w:val="20"/>
          <w:szCs w:val="20"/>
          <w:u w:val="single"/>
        </w:rPr>
      </w:r>
      <w:r>
        <w:rPr>
          <w:bCs/>
          <w:sz w:val="20"/>
          <w:szCs w:val="20"/>
          <w:u w:val="single"/>
        </w:rPr>
      </w:r>
      <w:r>
        <w:rPr>
          <w:bCs/>
          <w:sz w:val="20"/>
          <w:szCs w:val="20"/>
          <w:u w:val="single"/>
        </w:rPr>
      </w:r>
    </w:p>
    <w:p>
      <w:pPr>
        <w:pStyle w:val="1142"/>
        <w:rPr>
          <w:bCs/>
          <w:sz w:val="20"/>
          <w:szCs w:val="20"/>
          <w:u w:val="single"/>
        </w:rPr>
      </w:pPr>
      <w:r>
        <w:rPr>
          <w:bCs/>
          <w:sz w:val="20"/>
          <w:szCs w:val="20"/>
          <w:u w:val="single"/>
        </w:rPr>
      </w:r>
      <w:r>
        <w:rPr>
          <w:bCs/>
          <w:sz w:val="20"/>
          <w:szCs w:val="20"/>
          <w:u w:val="single"/>
        </w:rPr>
      </w:r>
      <w:r>
        <w:rPr>
          <w:bCs/>
          <w:sz w:val="20"/>
          <w:szCs w:val="20"/>
          <w:u w:val="single"/>
        </w:rPr>
      </w:r>
    </w:p>
    <w:p>
      <w:pPr>
        <w:pStyle w:val="1142"/>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42"/>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142"/>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42"/>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42"/>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142"/>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142"/>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42"/>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14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46"/>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1142"/>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1142"/>
              <w:jc w:val="center"/>
              <w:rPr>
                <w:b/>
                <w:sz w:val="20"/>
                <w:szCs w:val="20"/>
              </w:rPr>
            </w:pPr>
            <w:r>
              <w:rPr>
                <w:b/>
                <w:sz w:val="20"/>
                <w:szCs w:val="20"/>
              </w:rPr>
              <w:t xml:space="preserve">№ п/п</w:t>
            </w:r>
            <w:r>
              <w:rPr>
                <w:b/>
                <w:sz w:val="20"/>
                <w:szCs w:val="20"/>
              </w:rPr>
            </w:r>
            <w:r>
              <w:rPr>
                <w:b/>
                <w:sz w:val="20"/>
                <w:szCs w:val="20"/>
              </w:rPr>
            </w:r>
          </w:p>
        </w:tc>
        <w:tc>
          <w:tcPr>
            <w:tcW w:w="3402" w:type="dxa"/>
            <w:vAlign w:val="center"/>
            <w:textDirection w:val="lrTb"/>
            <w:noWrap w:val="false"/>
          </w:tcPr>
          <w:p>
            <w:pPr>
              <w:pStyle w:val="1142"/>
              <w:jc w:val="center"/>
              <w:rPr>
                <w:b/>
                <w:sz w:val="20"/>
                <w:szCs w:val="20"/>
              </w:rPr>
            </w:pPr>
            <w:r>
              <w:rPr>
                <w:b/>
                <w:sz w:val="20"/>
                <w:szCs w:val="20"/>
              </w:rPr>
              <w:t xml:space="preserve">Наименование услуги</w:t>
            </w:r>
            <w:r>
              <w:rPr>
                <w:b/>
                <w:sz w:val="20"/>
                <w:szCs w:val="20"/>
              </w:rPr>
            </w:r>
            <w:r>
              <w:rPr>
                <w:b/>
                <w:sz w:val="20"/>
                <w:szCs w:val="20"/>
              </w:rPr>
            </w:r>
          </w:p>
        </w:tc>
        <w:tc>
          <w:tcPr>
            <w:tcW w:w="2126" w:type="dxa"/>
            <w:vAlign w:val="center"/>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tcW w:w="3969" w:type="dxa"/>
            <w:vAlign w:val="center"/>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2"/>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402" w:type="dxa"/>
            <w:vAlign w:val="top"/>
            <w:textDirection w:val="lrTb"/>
            <w:noWrap w:val="false"/>
          </w:tcPr>
          <w:p>
            <w:pPr>
              <w:pStyle w:val="1142"/>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126" w:type="dxa"/>
            <w:vAlign w:val="top"/>
            <w:textDirection w:val="lrTb"/>
            <w:noWrap w:val="false"/>
          </w:tcPr>
          <w:p>
            <w:pPr>
              <w:pStyle w:val="1142"/>
              <w:contextualSpacing/>
              <w:jc w:val="center"/>
              <w:spacing w:before="40"/>
              <w:rPr>
                <w:sz w:val="20"/>
                <w:szCs w:val="20"/>
              </w:rPr>
            </w:pPr>
            <w:r>
              <w:rPr>
                <w:sz w:val="20"/>
                <w:szCs w:val="20"/>
              </w:rPr>
              <w:t xml:space="preserve">0,15 % </w:t>
            </w:r>
            <w:r>
              <w:rPr>
                <w:sz w:val="20"/>
                <w:szCs w:val="20"/>
              </w:rPr>
            </w:r>
            <w:r>
              <w:rPr>
                <w:sz w:val="20"/>
                <w:szCs w:val="20"/>
              </w:rPr>
            </w:r>
          </w:p>
          <w:p>
            <w:pPr>
              <w:pStyle w:val="1142"/>
              <w:contextualSpacing/>
              <w:jc w:val="center"/>
              <w:spacing w:before="40"/>
              <w:rPr>
                <w:sz w:val="20"/>
                <w:szCs w:val="20"/>
              </w:rPr>
            </w:pPr>
            <w:r>
              <w:rPr>
                <w:sz w:val="20"/>
                <w:szCs w:val="20"/>
              </w:rPr>
              <w:t xml:space="preserve">минимум </w:t>
            </w:r>
            <w:r>
              <w:rPr>
                <w:sz w:val="20"/>
                <w:szCs w:val="20"/>
              </w:rPr>
              <w:t xml:space="preserve">3</w:t>
            </w:r>
            <w:r>
              <w:rPr>
                <w:sz w:val="20"/>
                <w:szCs w:val="20"/>
              </w:rPr>
              <w:t xml:space="preserve">00 руб.,   </w:t>
            </w:r>
            <w:r>
              <w:rPr>
                <w:sz w:val="20"/>
                <w:szCs w:val="20"/>
              </w:rPr>
            </w:r>
            <w:r>
              <w:rPr>
                <w:sz w:val="20"/>
                <w:szCs w:val="20"/>
              </w:rPr>
            </w:r>
          </w:p>
        </w:tc>
        <w:tc>
          <w:tcPr>
            <w:tcBorders>
              <w:bottom w:val="single" w:color="000000" w:sz="4" w:space="0"/>
            </w:tcBorders>
            <w:tcW w:w="3969" w:type="dxa"/>
            <w:vAlign w:val="top"/>
            <w:textDirection w:val="lrTb"/>
            <w:noWrap w:val="false"/>
          </w:tcPr>
          <w:p>
            <w:pPr>
              <w:pStyle w:val="1142"/>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42"/>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42"/>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42"/>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42"/>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42"/>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42"/>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42"/>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42"/>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42"/>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42"/>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2"/>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402" w:type="dxa"/>
            <w:vAlign w:val="top"/>
            <w:textDirection w:val="lrTb"/>
            <w:noWrap w:val="false"/>
          </w:tcPr>
          <w:p>
            <w:pPr>
              <w:pStyle w:val="1142"/>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126" w:type="dxa"/>
            <w:vAlign w:val="top"/>
            <w:textDirection w:val="lrTb"/>
            <w:noWrap w:val="false"/>
          </w:tcPr>
          <w:p>
            <w:pPr>
              <w:pStyle w:val="1142"/>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969" w:type="dxa"/>
            <w:vAlign w:val="top"/>
            <w:textDirection w:val="lrTb"/>
            <w:noWrap w:val="false"/>
          </w:tcPr>
          <w:p>
            <w:pPr>
              <w:pStyle w:val="1142"/>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42"/>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1142"/>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2"/>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42"/>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1142"/>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2"/>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42"/>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142"/>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42"/>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2"/>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114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969" w:type="dxa"/>
            <w:vAlign w:val="top"/>
            <w:textDirection w:val="lrTb"/>
            <w:noWrap w:val="false"/>
          </w:tcPr>
          <w:p>
            <w:pPr>
              <w:pStyle w:val="1142"/>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42"/>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402" w:type="dxa"/>
            <w:vAlign w:val="top"/>
            <w:textDirection w:val="lrTb"/>
            <w:noWrap w:val="false"/>
          </w:tcPr>
          <w:p>
            <w:pPr>
              <w:pStyle w:val="1142"/>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2126" w:type="dxa"/>
            <w:vAlign w:val="center"/>
            <w:textDirection w:val="lrTb"/>
            <w:noWrap w:val="false"/>
          </w:tcPr>
          <w:p>
            <w:pPr>
              <w:pStyle w:val="1142"/>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969" w:type="dxa"/>
            <w:vAlign w:val="top"/>
            <w:textDirection w:val="lrTb"/>
            <w:noWrap w:val="false"/>
          </w:tcPr>
          <w:p>
            <w:pPr>
              <w:pStyle w:val="1142"/>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2"/>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402" w:type="dxa"/>
            <w:vAlign w:val="top"/>
            <w:textDirection w:val="lrTb"/>
            <w:noWrap w:val="false"/>
          </w:tcPr>
          <w:p>
            <w:pPr>
              <w:pStyle w:val="1142"/>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42"/>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tc>
        <w:tc>
          <w:tcPr>
            <w:tcBorders>
              <w:bottom w:val="single" w:color="000000" w:sz="4" w:space="0"/>
            </w:tcBorders>
            <w:tcW w:w="2126" w:type="dxa"/>
            <w:vAlign w:val="center"/>
            <w:textDirection w:val="lrTb"/>
            <w:noWrap w:val="false"/>
          </w:tcPr>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Не взимается</w:t>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1142"/>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2"/>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1142"/>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126" w:type="dxa"/>
            <w:vAlign w:val="center"/>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2"/>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142"/>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142"/>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142"/>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142"/>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42"/>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p>
            <w:pPr>
              <w:pStyle w:val="1142"/>
              <w:rPr>
                <w:sz w:val="20"/>
                <w:szCs w:val="20"/>
              </w:rPr>
            </w:pPr>
            <w:r>
              <w:rPr>
                <w:sz w:val="20"/>
                <w:szCs w:val="20"/>
              </w:rPr>
            </w:r>
            <w:r>
              <w:rPr>
                <w:sz w:val="20"/>
                <w:szCs w:val="20"/>
              </w:rPr>
            </w:r>
            <w:r>
              <w:rPr>
                <w:sz w:val="20"/>
                <w:szCs w:val="20"/>
              </w:rPr>
            </w:r>
          </w:p>
        </w:tc>
        <w:tc>
          <w:tcPr>
            <w:tcBorders>
              <w:bottom w:val="single" w:color="000000" w:sz="4" w:space="0"/>
            </w:tcBorders>
            <w:tcW w:w="2126" w:type="dxa"/>
            <w:vAlign w:val="top"/>
            <w:textDirection w:val="lrTb"/>
            <w:noWrap w:val="false"/>
          </w:tcPr>
          <w:p>
            <w:pPr>
              <w:pStyle w:val="1142"/>
              <w:jc w:val="center"/>
              <w:rPr>
                <w:sz w:val="20"/>
                <w:szCs w:val="20"/>
              </w:rPr>
            </w:pPr>
            <w:r>
              <w:rPr>
                <w:sz w:val="20"/>
                <w:szCs w:val="20"/>
              </w:rPr>
              <w:t xml:space="preserve">1 500 руб.</w:t>
            </w:r>
            <w:r>
              <w:rPr>
                <w:sz w:val="20"/>
                <w:szCs w:val="20"/>
              </w:rPr>
            </w:r>
            <w:r>
              <w:rPr>
                <w:sz w:val="20"/>
                <w:szCs w:val="20"/>
              </w:rPr>
            </w:r>
          </w:p>
        </w:tc>
        <w:tc>
          <w:tcPr>
            <w:tcW w:w="3969" w:type="dxa"/>
            <w:vAlign w:val="top"/>
            <w:vMerge w:val="continue"/>
            <w:textDirection w:val="lrTb"/>
            <w:noWrap w:val="false"/>
          </w:tcPr>
          <w:p>
            <w:pPr>
              <w:pStyle w:val="1142"/>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42"/>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126" w:type="dxa"/>
            <w:vAlign w:val="top"/>
            <w:textDirection w:val="lrTb"/>
            <w:noWrap w:val="false"/>
          </w:tcPr>
          <w:p>
            <w:pPr>
              <w:pStyle w:val="1142"/>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42"/>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2"/>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142"/>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2"/>
              <w:rPr>
                <w:sz w:val="20"/>
                <w:szCs w:val="20"/>
              </w:rPr>
            </w:pPr>
            <w:r>
              <w:rPr>
                <w:sz w:val="20"/>
                <w:szCs w:val="20"/>
              </w:rPr>
              <w:t xml:space="preserve">3.4.1.</w:t>
            </w:r>
            <w:r>
              <w:rPr>
                <w:sz w:val="20"/>
                <w:szCs w:val="20"/>
              </w:rPr>
            </w:r>
            <w:r>
              <w:rPr>
                <w:sz w:val="20"/>
                <w:szCs w:val="20"/>
              </w:rPr>
            </w:r>
          </w:p>
        </w:tc>
        <w:tc>
          <w:tcPr>
            <w:tcBorders>
              <w:bottom w:val="none" w:color="000000" w:sz="4" w:space="0"/>
            </w:tcBorders>
            <w:tcW w:w="3402" w:type="dxa"/>
            <w:vAlign w:val="top"/>
            <w:textDirection w:val="lrTb"/>
            <w:noWrap w:val="false"/>
          </w:tcPr>
          <w:p>
            <w:pPr>
              <w:pStyle w:val="1142"/>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2"/>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2"/>
              <w:jc w:val="center"/>
              <w:rPr>
                <w:sz w:val="20"/>
                <w:szCs w:val="20"/>
              </w:rPr>
            </w:pPr>
            <w:r>
              <w:rPr>
                <w:sz w:val="20"/>
                <w:szCs w:val="20"/>
              </w:rPr>
              <w:t xml:space="preserve">Не взимается</w:t>
            </w:r>
            <w:r>
              <w:rPr>
                <w:sz w:val="20"/>
                <w:szCs w:val="20"/>
              </w:rPr>
            </w:r>
            <w:r>
              <w:rPr>
                <w:sz w:val="20"/>
                <w:szCs w:val="20"/>
              </w:rPr>
            </w:r>
          </w:p>
        </w:tc>
        <w:tc>
          <w:tcPr>
            <w:tcW w:w="3969" w:type="dxa"/>
            <w:vAlign w:val="top"/>
            <w:vMerge w:val="continue"/>
            <w:textDirection w:val="lrTb"/>
            <w:noWrap w:val="false"/>
          </w:tcPr>
          <w:p>
            <w:pPr>
              <w:pStyle w:val="1142"/>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2"/>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2"/>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969" w:type="dxa"/>
            <w:vAlign w:val="top"/>
            <w:vMerge w:val="continue"/>
            <w:textDirection w:val="lrTb"/>
            <w:noWrap w:val="false"/>
          </w:tcPr>
          <w:p>
            <w:pPr>
              <w:pStyle w:val="1142"/>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42"/>
              <w:rPr>
                <w:sz w:val="20"/>
                <w:szCs w:val="20"/>
              </w:rPr>
            </w:pPr>
            <w:r>
              <w:rPr>
                <w:sz w:val="20"/>
                <w:szCs w:val="20"/>
              </w:rPr>
              <w:t xml:space="preserve">3.4.2.</w:t>
            </w:r>
            <w:r>
              <w:rPr>
                <w:sz w:val="20"/>
                <w:szCs w:val="20"/>
              </w:rPr>
            </w:r>
            <w:r>
              <w:rPr>
                <w:sz w:val="20"/>
                <w:szCs w:val="20"/>
              </w:rPr>
            </w:r>
          </w:p>
        </w:tc>
        <w:tc>
          <w:tcPr>
            <w:tcBorders>
              <w:bottom w:val="none" w:color="000000" w:sz="4" w:space="0"/>
            </w:tcBorders>
            <w:tcW w:w="3402" w:type="dxa"/>
            <w:vAlign w:val="top"/>
            <w:textDirection w:val="lrTb"/>
            <w:noWrap w:val="false"/>
          </w:tcPr>
          <w:p>
            <w:pPr>
              <w:pStyle w:val="1142"/>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2"/>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42"/>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42"/>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969" w:type="dxa"/>
            <w:vAlign w:val="top"/>
            <w:vMerge w:val="continue"/>
            <w:textDirection w:val="lrTb"/>
            <w:noWrap w:val="false"/>
          </w:tcPr>
          <w:p>
            <w:pPr>
              <w:pStyle w:val="1142"/>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42"/>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1142"/>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42"/>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1142"/>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142"/>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2"/>
              <w:jc w:val="center"/>
              <w:rPr>
                <w:sz w:val="20"/>
                <w:szCs w:val="20"/>
              </w:rPr>
            </w:pPr>
            <w:r>
              <w:rPr>
                <w:sz w:val="20"/>
                <w:szCs w:val="20"/>
              </w:rPr>
              <w:t xml:space="preserve">3.5.1.</w:t>
            </w:r>
            <w:r>
              <w:rPr>
                <w:sz w:val="20"/>
                <w:szCs w:val="20"/>
              </w:rPr>
            </w:r>
            <w:r>
              <w:rPr>
                <w:sz w:val="20"/>
                <w:szCs w:val="20"/>
              </w:rPr>
            </w:r>
          </w:p>
        </w:tc>
        <w:tc>
          <w:tcPr>
            <w:tcW w:w="3402" w:type="dxa"/>
            <w:vAlign w:val="top"/>
            <w:textDirection w:val="lrTb"/>
            <w:noWrap w:val="false"/>
          </w:tcPr>
          <w:p>
            <w:pPr>
              <w:pStyle w:val="1142"/>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42"/>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42"/>
              <w:jc w:val="center"/>
              <w:rPr>
                <w:sz w:val="20"/>
                <w:szCs w:val="20"/>
              </w:rPr>
            </w:pPr>
            <w:r>
              <w:rPr>
                <w:sz w:val="20"/>
                <w:szCs w:val="20"/>
              </w:rPr>
              <w:t xml:space="preserve">3 000 руб.</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42"/>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42"/>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42"/>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42"/>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42"/>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2"/>
              <w:jc w:val="center"/>
              <w:rPr>
                <w:sz w:val="20"/>
                <w:szCs w:val="20"/>
              </w:rPr>
            </w:pPr>
            <w:r>
              <w:rPr>
                <w:sz w:val="20"/>
                <w:szCs w:val="20"/>
              </w:rPr>
              <w:t xml:space="preserve">3.5.2.</w:t>
            </w:r>
            <w:r>
              <w:rPr>
                <w:sz w:val="20"/>
                <w:szCs w:val="20"/>
              </w:rPr>
            </w:r>
            <w:r>
              <w:rPr>
                <w:sz w:val="20"/>
                <w:szCs w:val="20"/>
              </w:rPr>
            </w:r>
          </w:p>
        </w:tc>
        <w:tc>
          <w:tcPr>
            <w:tcW w:w="3402" w:type="dxa"/>
            <w:vAlign w:val="top"/>
            <w:textDirection w:val="lrTb"/>
            <w:noWrap w:val="false"/>
          </w:tcPr>
          <w:p>
            <w:pPr>
              <w:pStyle w:val="1142"/>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126" w:type="dxa"/>
            <w:vAlign w:val="top"/>
            <w:textDirection w:val="lrTb"/>
            <w:noWrap w:val="false"/>
          </w:tcPr>
          <w:p>
            <w:pPr>
              <w:pStyle w:val="1142"/>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969" w:type="dxa"/>
            <w:vAlign w:val="top"/>
            <w:vMerge w:val="continue"/>
            <w:textDirection w:val="lrTb"/>
            <w:noWrap w:val="false"/>
          </w:tcPr>
          <w:p>
            <w:pPr>
              <w:pStyle w:val="114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2"/>
              <w:jc w:val="center"/>
              <w:rPr>
                <w:sz w:val="20"/>
                <w:szCs w:val="20"/>
              </w:rPr>
            </w:pPr>
            <w:r>
              <w:rPr>
                <w:sz w:val="20"/>
                <w:szCs w:val="20"/>
              </w:rPr>
              <w:t xml:space="preserve">3.5.3.</w:t>
            </w:r>
            <w:r>
              <w:rPr>
                <w:sz w:val="20"/>
                <w:szCs w:val="20"/>
              </w:rPr>
            </w:r>
            <w:r>
              <w:rPr>
                <w:sz w:val="20"/>
                <w:szCs w:val="20"/>
              </w:rPr>
            </w:r>
          </w:p>
        </w:tc>
        <w:tc>
          <w:tcPr>
            <w:tcW w:w="3402" w:type="dxa"/>
            <w:vAlign w:val="top"/>
            <w:textDirection w:val="lrTb"/>
            <w:noWrap w:val="false"/>
          </w:tcPr>
          <w:p>
            <w:pPr>
              <w:pStyle w:val="1142"/>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126" w:type="dxa"/>
            <w:vAlign w:val="top"/>
            <w:textDirection w:val="lrTb"/>
            <w:noWrap w:val="false"/>
          </w:tcPr>
          <w:p>
            <w:pPr>
              <w:pStyle w:val="1142"/>
              <w:jc w:val="center"/>
              <w:rPr>
                <w:sz w:val="20"/>
                <w:szCs w:val="20"/>
              </w:rPr>
            </w:pPr>
            <w:r>
              <w:rPr>
                <w:sz w:val="20"/>
                <w:szCs w:val="20"/>
              </w:rPr>
              <w:t xml:space="preserve">0,15 % </w:t>
            </w:r>
            <w:r>
              <w:rPr>
                <w:sz w:val="20"/>
                <w:szCs w:val="20"/>
              </w:rPr>
            </w:r>
            <w:r>
              <w:rPr>
                <w:sz w:val="20"/>
                <w:szCs w:val="20"/>
              </w:rPr>
            </w:r>
          </w:p>
          <w:p>
            <w:pPr>
              <w:pStyle w:val="1142"/>
              <w:jc w:val="center"/>
              <w:rPr>
                <w:sz w:val="20"/>
                <w:szCs w:val="20"/>
              </w:rPr>
            </w:pPr>
            <w:r>
              <w:rPr>
                <w:sz w:val="20"/>
                <w:szCs w:val="20"/>
              </w:rPr>
              <w:t xml:space="preserve">минимум 500 руб., максимум 80 000 руб. </w:t>
            </w:r>
            <w:r>
              <w:rPr>
                <w:sz w:val="20"/>
                <w:szCs w:val="20"/>
              </w:rPr>
            </w:r>
            <w:r>
              <w:rPr>
                <w:sz w:val="20"/>
                <w:szCs w:val="20"/>
              </w:rPr>
            </w:r>
          </w:p>
        </w:tc>
        <w:tc>
          <w:tcPr>
            <w:tcW w:w="3969" w:type="dxa"/>
            <w:vAlign w:val="top"/>
            <w:textDirection w:val="lrTb"/>
            <w:noWrap w:val="false"/>
          </w:tcPr>
          <w:p>
            <w:pPr>
              <w:pStyle w:val="1142"/>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42"/>
              <w:jc w:val="both"/>
              <w:rPr>
                <w:sz w:val="20"/>
                <w:szCs w:val="20"/>
              </w:rPr>
            </w:pPr>
            <w:r>
              <w:rPr>
                <w:sz w:val="20"/>
                <w:szCs w:val="20"/>
              </w:rPr>
              <w:t xml:space="preserve">Комиссия взимается:</w:t>
            </w:r>
            <w:r>
              <w:rPr>
                <w:sz w:val="20"/>
                <w:szCs w:val="20"/>
              </w:rPr>
            </w:r>
            <w:r>
              <w:rPr>
                <w:sz w:val="20"/>
                <w:szCs w:val="20"/>
              </w:rPr>
            </w:r>
          </w:p>
          <w:p>
            <w:pPr>
              <w:pStyle w:val="1142"/>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2"/>
              <w:jc w:val="center"/>
              <w:spacing w:before="40"/>
              <w:rPr>
                <w:sz w:val="20"/>
                <w:szCs w:val="20"/>
              </w:rPr>
            </w:pPr>
            <w:r>
              <w:rPr>
                <w:sz w:val="20"/>
                <w:szCs w:val="20"/>
              </w:rPr>
              <w:t xml:space="preserve">3.6.</w:t>
            </w:r>
            <w:r>
              <w:rPr>
                <w:sz w:val="20"/>
                <w:szCs w:val="20"/>
              </w:rPr>
            </w:r>
            <w:r>
              <w:rPr>
                <w:sz w:val="20"/>
                <w:szCs w:val="20"/>
              </w:rPr>
            </w:r>
          </w:p>
        </w:tc>
        <w:tc>
          <w:tcPr>
            <w:tcW w:w="3402" w:type="dxa"/>
            <w:vAlign w:val="top"/>
            <w:textDirection w:val="lrTb"/>
            <w:noWrap w:val="false"/>
          </w:tcPr>
          <w:p>
            <w:pPr>
              <w:pStyle w:val="1142"/>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126" w:type="dxa"/>
            <w:vAlign w:val="top"/>
            <w:textDirection w:val="lrTb"/>
            <w:noWrap w:val="false"/>
          </w:tcPr>
          <w:p>
            <w:pPr>
              <w:pStyle w:val="1142"/>
              <w:contextualSpacing/>
              <w:jc w:val="center"/>
              <w:rPr>
                <w:sz w:val="20"/>
                <w:szCs w:val="20"/>
              </w:rPr>
            </w:pPr>
            <w:r>
              <w:rPr>
                <w:sz w:val="20"/>
                <w:szCs w:val="20"/>
              </w:rPr>
              <w:t xml:space="preserve">0,12%</w:t>
            </w:r>
            <w:r>
              <w:rPr>
                <w:sz w:val="20"/>
                <w:szCs w:val="20"/>
              </w:rPr>
            </w:r>
            <w:r>
              <w:rPr>
                <w:sz w:val="20"/>
                <w:szCs w:val="20"/>
              </w:rPr>
            </w:r>
          </w:p>
          <w:p>
            <w:pPr>
              <w:pStyle w:val="1142"/>
              <w:contextualSpacing/>
              <w:jc w:val="center"/>
              <w:rPr>
                <w:sz w:val="20"/>
                <w:szCs w:val="20"/>
              </w:rPr>
            </w:pPr>
            <w:r>
              <w:rPr>
                <w:sz w:val="20"/>
                <w:szCs w:val="20"/>
              </w:rPr>
              <w:t xml:space="preserve">минимум </w:t>
            </w:r>
            <w:r>
              <w:rPr>
                <w:sz w:val="20"/>
                <w:szCs w:val="20"/>
              </w:rPr>
              <w:t xml:space="preserve">1</w:t>
            </w:r>
            <w:r>
              <w:rPr>
                <w:sz w:val="20"/>
                <w:szCs w:val="20"/>
              </w:rPr>
              <w:t xml:space="preserve">50 руб.,</w:t>
            </w:r>
            <w:r>
              <w:rPr>
                <w:sz w:val="20"/>
                <w:szCs w:val="20"/>
              </w:rPr>
            </w:r>
            <w:r>
              <w:rPr>
                <w:sz w:val="20"/>
                <w:szCs w:val="20"/>
              </w:rPr>
            </w:r>
          </w:p>
          <w:p>
            <w:pPr>
              <w:pStyle w:val="1142"/>
              <w:contextualSpacing/>
              <w:jc w:val="center"/>
              <w:rPr>
                <w:sz w:val="20"/>
                <w:szCs w:val="20"/>
              </w:rPr>
            </w:pPr>
            <w:r>
              <w:rPr>
                <w:sz w:val="20"/>
                <w:szCs w:val="20"/>
              </w:rPr>
              <w:t xml:space="preserve">максимум </w:t>
            </w:r>
            <w:r>
              <w:rPr>
                <w:sz w:val="20"/>
                <w:szCs w:val="20"/>
              </w:rPr>
              <w:t xml:space="preserve">5</w:t>
            </w:r>
            <w:r>
              <w:rPr>
                <w:sz w:val="20"/>
                <w:szCs w:val="20"/>
              </w:rPr>
              <w:t xml:space="preserve"> 000 руб.</w:t>
            </w:r>
            <w:r>
              <w:rPr>
                <w:sz w:val="20"/>
                <w:szCs w:val="20"/>
              </w:rPr>
            </w:r>
            <w:r>
              <w:rPr>
                <w:sz w:val="20"/>
                <w:szCs w:val="20"/>
              </w:rPr>
            </w:r>
          </w:p>
          <w:p>
            <w:pPr>
              <w:pStyle w:val="1142"/>
              <w:contextualSpacing/>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2"/>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42"/>
              <w:jc w:val="both"/>
              <w:rPr>
                <w:b/>
                <w:sz w:val="20"/>
                <w:szCs w:val="20"/>
              </w:rPr>
            </w:pPr>
            <w:r>
              <w:rPr>
                <w:b/>
                <w:sz w:val="20"/>
                <w:szCs w:val="20"/>
              </w:rPr>
              <w:t xml:space="preserve">Комиссия не взимается:</w:t>
            </w:r>
            <w:r>
              <w:rPr>
                <w:b/>
                <w:sz w:val="20"/>
                <w:szCs w:val="20"/>
              </w:rPr>
            </w:r>
            <w:r>
              <w:rPr>
                <w:b/>
                <w:sz w:val="20"/>
                <w:szCs w:val="20"/>
              </w:rPr>
            </w:r>
          </w:p>
          <w:p>
            <w:pPr>
              <w:pStyle w:val="1142"/>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42"/>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42"/>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42"/>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42"/>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42"/>
              <w:jc w:val="center"/>
              <w:rPr>
                <w:sz w:val="20"/>
                <w:szCs w:val="20"/>
              </w:rPr>
            </w:pPr>
            <w:r>
              <w:rPr>
                <w:sz w:val="20"/>
                <w:szCs w:val="20"/>
              </w:rPr>
              <w:t xml:space="preserve">3.7.</w:t>
            </w:r>
            <w:r>
              <w:rPr>
                <w:sz w:val="20"/>
                <w:szCs w:val="20"/>
              </w:rPr>
            </w:r>
            <w:r>
              <w:rPr>
                <w:sz w:val="20"/>
                <w:szCs w:val="20"/>
              </w:rPr>
            </w:r>
          </w:p>
        </w:tc>
        <w:tc>
          <w:tcPr>
            <w:tcW w:w="3402" w:type="dxa"/>
            <w:vAlign w:val="top"/>
            <w:textDirection w:val="lrTb"/>
            <w:noWrap w:val="false"/>
          </w:tcPr>
          <w:p>
            <w:pPr>
              <w:pStyle w:val="1142"/>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126" w:type="dxa"/>
            <w:vAlign w:val="top"/>
            <w:textDirection w:val="lrTb"/>
            <w:noWrap w:val="false"/>
          </w:tcPr>
          <w:p>
            <w:pPr>
              <w:pStyle w:val="1142"/>
              <w:jc w:val="center"/>
              <w:rPr>
                <w:sz w:val="20"/>
                <w:szCs w:val="20"/>
              </w:rPr>
            </w:pPr>
            <w:r>
              <w:rPr>
                <w:sz w:val="20"/>
                <w:szCs w:val="20"/>
              </w:rPr>
              <w:t xml:space="preserve">Не взимается</w:t>
            </w:r>
            <w:r>
              <w:rPr>
                <w:sz w:val="20"/>
                <w:szCs w:val="20"/>
              </w:rPr>
            </w:r>
            <w:r>
              <w:rPr>
                <w:sz w:val="20"/>
                <w:szCs w:val="20"/>
              </w:rPr>
            </w:r>
          </w:p>
        </w:tc>
        <w:tc>
          <w:tcPr>
            <w:tcW w:w="3969" w:type="dxa"/>
            <w:vAlign w:val="top"/>
            <w:textDirection w:val="lrTb"/>
            <w:noWrap w:val="false"/>
          </w:tcPr>
          <w:p>
            <w:pPr>
              <w:pStyle w:val="114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42"/>
              <w:jc w:val="center"/>
              <w:rPr>
                <w:sz w:val="20"/>
                <w:szCs w:val="20"/>
              </w:rPr>
            </w:pPr>
            <w:r>
              <w:rPr>
                <w:sz w:val="20"/>
                <w:szCs w:val="20"/>
              </w:rPr>
              <w:t xml:space="preserve">3.8.</w:t>
            </w:r>
            <w:r>
              <w:rPr>
                <w:sz w:val="20"/>
                <w:szCs w:val="20"/>
              </w:rPr>
            </w:r>
            <w:r>
              <w:rPr>
                <w:sz w:val="20"/>
                <w:szCs w:val="20"/>
              </w:rPr>
            </w:r>
          </w:p>
        </w:tc>
        <w:tc>
          <w:tcPr>
            <w:tcW w:w="3402" w:type="dxa"/>
            <w:vAlign w:val="top"/>
            <w:textDirection w:val="lrTb"/>
            <w:noWrap w:val="false"/>
          </w:tcPr>
          <w:p>
            <w:pPr>
              <w:pStyle w:val="1142"/>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126" w:type="dxa"/>
            <w:vAlign w:val="top"/>
            <w:textDirection w:val="lrTb"/>
            <w:noWrap w:val="false"/>
          </w:tcPr>
          <w:p>
            <w:pPr>
              <w:pStyle w:val="1142"/>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50 руб. за лист, максимум 1 000 руб.</w:t>
            </w:r>
            <w:r>
              <w:rPr>
                <w:sz w:val="20"/>
                <w:szCs w:val="20"/>
              </w:rPr>
            </w:r>
            <w:r>
              <w:rPr>
                <w:sz w:val="20"/>
                <w:szCs w:val="20"/>
              </w:rPr>
            </w:r>
          </w:p>
        </w:tc>
        <w:tc>
          <w:tcPr>
            <w:tcW w:w="3969" w:type="dxa"/>
            <w:vAlign w:val="top"/>
            <w:textDirection w:val="lrTb"/>
            <w:noWrap w:val="false"/>
          </w:tcPr>
          <w:p>
            <w:pPr>
              <w:pStyle w:val="1142"/>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42"/>
              <w:jc w:val="center"/>
              <w:rPr>
                <w:sz w:val="20"/>
                <w:szCs w:val="20"/>
              </w:rPr>
            </w:pPr>
            <w:r>
              <w:rPr>
                <w:sz w:val="20"/>
                <w:szCs w:val="20"/>
              </w:rPr>
              <w:t xml:space="preserve">3.9</w:t>
            </w:r>
            <w:r>
              <w:rPr>
                <w:sz w:val="20"/>
                <w:szCs w:val="20"/>
              </w:rPr>
              <w:t xml:space="preserve">.</w:t>
            </w:r>
            <w:r>
              <w:rPr>
                <w:sz w:val="20"/>
                <w:szCs w:val="20"/>
              </w:rPr>
            </w:r>
            <w:r>
              <w:rPr>
                <w:sz w:val="20"/>
                <w:szCs w:val="20"/>
              </w:rPr>
            </w:r>
          </w:p>
        </w:tc>
        <w:tc>
          <w:tcPr>
            <w:tcW w:w="3402" w:type="dxa"/>
            <w:vAlign w:val="top"/>
            <w:textDirection w:val="lrTb"/>
            <w:noWrap w:val="false"/>
          </w:tcPr>
          <w:p>
            <w:pPr>
              <w:pStyle w:val="1142"/>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p>
            <w:pPr>
              <w:pStyle w:val="1142"/>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1142"/>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142"/>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42"/>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1142"/>
              <w:jc w:val="both"/>
              <w:rPr>
                <w:sz w:val="20"/>
                <w:szCs w:val="20"/>
              </w:rPr>
            </w:pPr>
            <w:r>
              <w:rPr>
                <w:sz w:val="20"/>
                <w:szCs w:val="20"/>
              </w:rPr>
            </w:r>
            <w:r>
              <w:rPr>
                <w:sz w:val="20"/>
                <w:szCs w:val="20"/>
              </w:rPr>
            </w:r>
            <w:r>
              <w:rPr>
                <w:sz w:val="20"/>
                <w:szCs w:val="20"/>
              </w:rPr>
            </w:r>
          </w:p>
          <w:p>
            <w:pPr>
              <w:pStyle w:val="1142"/>
              <w:jc w:val="both"/>
              <w:rPr>
                <w:sz w:val="20"/>
                <w:szCs w:val="20"/>
              </w:rPr>
            </w:pPr>
            <w:r>
              <w:rPr>
                <w:sz w:val="20"/>
                <w:szCs w:val="20"/>
              </w:rPr>
            </w:r>
            <w:r>
              <w:rPr>
                <w:sz w:val="20"/>
                <w:szCs w:val="20"/>
              </w:rPr>
            </w:r>
            <w:r>
              <w:rPr>
                <w:sz w:val="20"/>
                <w:szCs w:val="20"/>
              </w:rPr>
            </w:r>
          </w:p>
          <w:p>
            <w:pPr>
              <w:pStyle w:val="1142"/>
              <w:jc w:val="both"/>
              <w:spacing w:after="120"/>
              <w:rPr>
                <w:sz w:val="20"/>
                <w:szCs w:val="20"/>
              </w:rPr>
            </w:pPr>
            <w:r>
              <w:rPr>
                <w:sz w:val="20"/>
                <w:szCs w:val="20"/>
              </w:rPr>
            </w:r>
            <w:r>
              <w:rPr>
                <w:sz w:val="20"/>
                <w:szCs w:val="20"/>
              </w:rPr>
            </w:r>
            <w:r>
              <w:rPr>
                <w:sz w:val="20"/>
                <w:szCs w:val="20"/>
              </w:rPr>
            </w:r>
          </w:p>
        </w:tc>
      </w:tr>
    </w:tbl>
    <w:p>
      <w:pPr>
        <w:pStyle w:val="1142"/>
      </w:pPr>
      <w:r/>
      <w:r/>
    </w:p>
    <w:p>
      <w:pPr>
        <w:pStyle w:val="1142"/>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r>
        <w:rPr>
          <w:i/>
          <w:sz w:val="20"/>
          <w:szCs w:val="20"/>
          <w:u w:val="single"/>
        </w:rPr>
      </w:r>
    </w:p>
    <w:p>
      <w:pPr>
        <w:pStyle w:val="1142"/>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r>
        <w:rPr>
          <w:bCs/>
          <w:i/>
          <w:sz w:val="20"/>
          <w:szCs w:val="20"/>
        </w:rPr>
      </w:r>
    </w:p>
    <w:p>
      <w:pPr>
        <w:pStyle w:val="1142"/>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r>
        <w:rPr>
          <w:bCs/>
          <w:i/>
          <w:sz w:val="20"/>
          <w:szCs w:val="20"/>
        </w:rPr>
      </w:r>
    </w:p>
    <w:p>
      <w:pPr>
        <w:pStyle w:val="1142"/>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r>
        <w:rPr>
          <w:bCs/>
          <w:i/>
          <w:sz w:val="20"/>
          <w:szCs w:val="20"/>
        </w:rPr>
      </w:r>
    </w:p>
    <w:p>
      <w:pPr>
        <w:pStyle w:val="1142"/>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r>
        <w:rPr>
          <w:bCs/>
          <w:i/>
          <w:sz w:val="20"/>
          <w:szCs w:val="20"/>
        </w:rPr>
      </w:r>
    </w:p>
    <w:p>
      <w:pPr>
        <w:pStyle w:val="1142"/>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r>
        <w:rPr>
          <w:bCs/>
          <w:i/>
          <w:sz w:val="20"/>
          <w:szCs w:val="20"/>
        </w:rPr>
      </w:r>
    </w:p>
    <w:p>
      <w:pPr>
        <w:pStyle w:val="1142"/>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r>
        <w:rPr>
          <w:bCs/>
          <w:i/>
          <w:sz w:val="20"/>
          <w:szCs w:val="20"/>
        </w:rPr>
      </w:r>
    </w:p>
    <w:p>
      <w:pPr>
        <w:pStyle w:val="1142"/>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r>
        <w:rPr>
          <w:bCs/>
          <w:i/>
          <w:sz w:val="20"/>
          <w:szCs w:val="20"/>
        </w:rPr>
      </w:r>
    </w:p>
    <w:p>
      <w:pPr>
        <w:pStyle w:val="1142"/>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r>
        <w:rPr>
          <w:bCs/>
          <w:i/>
          <w:sz w:val="20"/>
          <w:szCs w:val="20"/>
        </w:rPr>
      </w:r>
    </w:p>
    <w:p>
      <w:pPr>
        <w:pStyle w:val="1142"/>
        <w:rPr>
          <w:bCs/>
          <w:i/>
          <w:sz w:val="20"/>
          <w:szCs w:val="20"/>
        </w:rPr>
      </w:pPr>
      <w:r>
        <w:rPr>
          <w:bCs/>
          <w:i/>
          <w:sz w:val="20"/>
          <w:szCs w:val="20"/>
        </w:rPr>
        <w:t xml:space="preserve">Комиссионное вознаграждение взимается: </w:t>
      </w:r>
      <w:r>
        <w:rPr>
          <w:bCs/>
          <w:i/>
          <w:sz w:val="20"/>
          <w:szCs w:val="20"/>
        </w:rPr>
      </w:r>
      <w:r>
        <w:rPr>
          <w:bCs/>
          <w:i/>
          <w:sz w:val="20"/>
          <w:szCs w:val="20"/>
        </w:rPr>
      </w:r>
    </w:p>
    <w:p>
      <w:pPr>
        <w:pStyle w:val="1142"/>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r>
        <w:rPr>
          <w:bCs/>
          <w:i/>
          <w:sz w:val="20"/>
          <w:szCs w:val="20"/>
        </w:rPr>
      </w:r>
    </w:p>
    <w:p>
      <w:pPr>
        <w:pStyle w:val="1142"/>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r>
        <w:rPr>
          <w:bCs/>
          <w:i/>
          <w:sz w:val="20"/>
          <w:szCs w:val="20"/>
        </w:rPr>
      </w:r>
    </w:p>
    <w:p>
      <w:pPr>
        <w:pStyle w:val="1142"/>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r>
        <w:rPr>
          <w:bCs/>
          <w:i/>
          <w:sz w:val="20"/>
          <w:szCs w:val="20"/>
        </w:rPr>
      </w:r>
    </w:p>
    <w:p>
      <w:pPr>
        <w:pStyle w:val="1142"/>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r>
        <w:rPr>
          <w:i/>
          <w:sz w:val="20"/>
          <w:szCs w:val="20"/>
        </w:rPr>
      </w:r>
    </w:p>
    <w:p>
      <w:pPr>
        <w:pStyle w:val="1142"/>
        <w:rPr>
          <w:i/>
          <w:sz w:val="20"/>
          <w:szCs w:val="20"/>
        </w:rPr>
      </w:pPr>
      <w:r>
        <w:rPr>
          <w:i/>
          <w:sz w:val="20"/>
          <w:szCs w:val="20"/>
        </w:rPr>
        <w:t xml:space="preserve">*** Днем оказания услуги по валютному контролю является:</w:t>
      </w:r>
      <w:r>
        <w:rPr>
          <w:i/>
          <w:sz w:val="20"/>
          <w:szCs w:val="20"/>
        </w:rPr>
      </w:r>
      <w:r>
        <w:rPr>
          <w:i/>
          <w:sz w:val="20"/>
          <w:szCs w:val="20"/>
        </w:rPr>
      </w:r>
    </w:p>
    <w:p>
      <w:pPr>
        <w:pStyle w:val="1142"/>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r>
        <w:rPr>
          <w:bCs/>
          <w:i/>
          <w:sz w:val="20"/>
          <w:szCs w:val="20"/>
        </w:rPr>
      </w:r>
    </w:p>
    <w:p>
      <w:pPr>
        <w:pStyle w:val="1142"/>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1142"/>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r>
        <w:rPr>
          <w:b/>
          <w:i/>
          <w:sz w:val="20"/>
          <w:szCs w:val="20"/>
        </w:rPr>
      </w:r>
    </w:p>
    <w:p>
      <w:pPr>
        <w:pStyle w:val="1142"/>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r>
        <w:rPr>
          <w:b/>
          <w:i/>
          <w:sz w:val="20"/>
          <w:szCs w:val="20"/>
        </w:rPr>
      </w:r>
    </w:p>
    <w:p>
      <w:pPr>
        <w:pStyle w:val="1142"/>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r>
        <w:rPr>
          <w:b/>
          <w:i/>
          <w:sz w:val="20"/>
          <w:szCs w:val="20"/>
        </w:rPr>
      </w:r>
    </w:p>
    <w:p>
      <w:pPr>
        <w:pStyle w:val="1142"/>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r>
        <w:rPr>
          <w:b/>
          <w:i/>
          <w:sz w:val="20"/>
          <w:szCs w:val="20"/>
        </w:rPr>
      </w:r>
    </w:p>
    <w:p>
      <w:pPr>
        <w:pStyle w:val="1142"/>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r>
        <w:rPr>
          <w:i/>
          <w:sz w:val="20"/>
          <w:szCs w:val="20"/>
        </w:rPr>
      </w:r>
    </w:p>
    <w:p>
      <w:pPr>
        <w:pStyle w:val="1142"/>
        <w:rPr>
          <w:b/>
          <w:i/>
          <w:sz w:val="20"/>
          <w:szCs w:val="20"/>
        </w:rPr>
      </w:pPr>
      <w:r>
        <w:rPr>
          <w:b/>
          <w:i/>
          <w:sz w:val="20"/>
          <w:szCs w:val="20"/>
        </w:rPr>
        <w:t xml:space="preserve">- день направления резиденту информации о коде вида операции.</w:t>
      </w:r>
      <w:r>
        <w:rPr>
          <w:b/>
          <w:i/>
          <w:sz w:val="20"/>
          <w:szCs w:val="20"/>
        </w:rPr>
      </w:r>
      <w:r>
        <w:rPr>
          <w:b/>
          <w:i/>
          <w:sz w:val="20"/>
          <w:szCs w:val="20"/>
        </w:rPr>
      </w:r>
    </w:p>
    <w:p>
      <w:pPr>
        <w:pStyle w:val="1142"/>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r>
        <w:rPr>
          <w:i/>
          <w:sz w:val="20"/>
          <w:szCs w:val="20"/>
        </w:rPr>
      </w:r>
    </w:p>
    <w:p>
      <w:pPr>
        <w:pStyle w:val="1142"/>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r>
        <w:rPr>
          <w:b/>
          <w:i/>
          <w:sz w:val="20"/>
          <w:szCs w:val="20"/>
        </w:rPr>
      </w:r>
    </w:p>
    <w:p>
      <w:pPr>
        <w:pStyle w:val="1142"/>
        <w:rPr>
          <w:bCs/>
          <w:i/>
          <w:sz w:val="20"/>
          <w:szCs w:val="20"/>
        </w:rPr>
      </w:pPr>
      <w:r>
        <w:rPr>
          <w:bCs/>
          <w:i/>
          <w:sz w:val="20"/>
          <w:szCs w:val="20"/>
        </w:rPr>
        <w:t xml:space="preserve">4.     При проверке СПД:</w:t>
      </w:r>
      <w:r>
        <w:rPr>
          <w:bCs/>
          <w:i/>
          <w:sz w:val="20"/>
          <w:szCs w:val="20"/>
        </w:rPr>
      </w:r>
      <w:r>
        <w:rPr>
          <w:bCs/>
          <w:i/>
          <w:sz w:val="20"/>
          <w:szCs w:val="20"/>
        </w:rPr>
      </w:r>
    </w:p>
    <w:p>
      <w:pPr>
        <w:pStyle w:val="1142"/>
        <w:rPr>
          <w:b/>
          <w:bCs/>
          <w:i/>
          <w:sz w:val="20"/>
          <w:szCs w:val="20"/>
        </w:rPr>
      </w:pPr>
      <w:r>
        <w:rPr>
          <w:b/>
          <w:bCs/>
          <w:i/>
          <w:sz w:val="20"/>
          <w:szCs w:val="20"/>
        </w:rPr>
        <w:t xml:space="preserve">- день принятия Банком СПД.</w:t>
      </w:r>
      <w:r>
        <w:rPr>
          <w:b/>
          <w:bCs/>
          <w:i/>
          <w:sz w:val="20"/>
          <w:szCs w:val="20"/>
        </w:rPr>
      </w:r>
      <w:r>
        <w:rPr>
          <w:b/>
          <w:bCs/>
          <w:i/>
          <w:sz w:val="20"/>
          <w:szCs w:val="20"/>
        </w:rPr>
      </w:r>
    </w:p>
    <w:p>
      <w:pPr>
        <w:pStyle w:val="1142"/>
        <w:rPr>
          <w:i/>
          <w:sz w:val="20"/>
          <w:szCs w:val="20"/>
        </w:rPr>
      </w:pPr>
      <w:r>
        <w:rPr>
          <w:i/>
          <w:sz w:val="20"/>
          <w:szCs w:val="20"/>
        </w:rPr>
        <w:t xml:space="preserve">5.     При оформлении Банком СПД за клиента:</w:t>
      </w:r>
      <w:r>
        <w:rPr>
          <w:i/>
          <w:sz w:val="20"/>
          <w:szCs w:val="20"/>
        </w:rPr>
      </w:r>
      <w:r>
        <w:rPr>
          <w:i/>
          <w:sz w:val="20"/>
          <w:szCs w:val="20"/>
        </w:rPr>
      </w:r>
    </w:p>
    <w:p>
      <w:pPr>
        <w:pStyle w:val="1142"/>
        <w:rPr>
          <w:b/>
          <w:i/>
          <w:sz w:val="20"/>
          <w:szCs w:val="20"/>
        </w:rPr>
      </w:pPr>
      <w:r>
        <w:rPr>
          <w:b/>
          <w:i/>
          <w:sz w:val="20"/>
          <w:szCs w:val="20"/>
        </w:rPr>
        <w:t xml:space="preserve">- день оформления Банком СПД.</w:t>
      </w:r>
      <w:r>
        <w:rPr>
          <w:b/>
          <w:i/>
          <w:sz w:val="20"/>
          <w:szCs w:val="20"/>
        </w:rPr>
      </w:r>
      <w:r>
        <w:rPr>
          <w:b/>
          <w:i/>
          <w:sz w:val="20"/>
          <w:szCs w:val="20"/>
        </w:rPr>
      </w:r>
    </w:p>
    <w:p>
      <w:pPr>
        <w:pStyle w:val="1142"/>
        <w:rPr>
          <w:i/>
          <w:sz w:val="20"/>
          <w:szCs w:val="20"/>
        </w:rPr>
      </w:pPr>
      <w:r>
        <w:rPr>
          <w:i/>
          <w:sz w:val="20"/>
          <w:szCs w:val="20"/>
        </w:rPr>
        <w:t xml:space="preserve">6.     При снятии контракта (кредитного договора) с учета:</w:t>
      </w:r>
      <w:r>
        <w:rPr>
          <w:i/>
          <w:sz w:val="20"/>
          <w:szCs w:val="20"/>
        </w:rPr>
      </w:r>
      <w:r>
        <w:rPr>
          <w:i/>
          <w:sz w:val="20"/>
          <w:szCs w:val="20"/>
        </w:rPr>
      </w:r>
    </w:p>
    <w:p>
      <w:pPr>
        <w:pStyle w:val="1142"/>
        <w:rPr>
          <w:b/>
          <w:i/>
          <w:sz w:val="20"/>
          <w:szCs w:val="20"/>
        </w:rPr>
      </w:pPr>
      <w:r>
        <w:rPr>
          <w:b/>
          <w:i/>
          <w:sz w:val="20"/>
          <w:szCs w:val="20"/>
        </w:rPr>
        <w:t xml:space="preserve">- день снятия Банком контракта (кредитного договора) с учета.</w:t>
      </w:r>
      <w:r>
        <w:rPr>
          <w:b/>
          <w:i/>
          <w:sz w:val="20"/>
          <w:szCs w:val="20"/>
        </w:rPr>
      </w:r>
      <w:r>
        <w:rPr>
          <w:b/>
          <w:i/>
          <w:sz w:val="20"/>
          <w:szCs w:val="20"/>
        </w:rPr>
      </w:r>
    </w:p>
    <w:p>
      <w:pPr>
        <w:pStyle w:val="1142"/>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r>
        <w:rPr>
          <w:i/>
          <w:sz w:val="20"/>
          <w:szCs w:val="20"/>
        </w:rPr>
      </w:r>
    </w:p>
    <w:p>
      <w:pPr>
        <w:pStyle w:val="1142"/>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r>
        <w:rPr>
          <w:b/>
          <w:i/>
          <w:sz w:val="20"/>
          <w:szCs w:val="20"/>
        </w:rPr>
      </w:r>
    </w:p>
    <w:p>
      <w:pPr>
        <w:pStyle w:val="1142"/>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1142"/>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r>
        <w:rPr>
          <w:i/>
          <w:sz w:val="20"/>
          <w:szCs w:val="20"/>
        </w:rPr>
      </w:r>
    </w:p>
    <w:p>
      <w:pPr>
        <w:pStyle w:val="1142"/>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1142"/>
        <w:rPr>
          <w:i/>
          <w:sz w:val="20"/>
          <w:szCs w:val="20"/>
        </w:rPr>
      </w:pPr>
      <w:r>
        <w:rPr>
          <w:i/>
          <w:sz w:val="20"/>
          <w:szCs w:val="20"/>
        </w:rPr>
      </w:r>
      <w:r>
        <w:rPr>
          <w:i/>
          <w:sz w:val="20"/>
          <w:szCs w:val="20"/>
        </w:rPr>
      </w:r>
      <w:r>
        <w:rPr>
          <w:i/>
          <w:sz w:val="20"/>
          <w:szCs w:val="20"/>
        </w:rPr>
      </w:r>
    </w:p>
    <w:p>
      <w:pPr>
        <w:pStyle w:val="1142"/>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46"/>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1142"/>
        <w:rPr>
          <w:lang w:val="en-US" w:eastAsia="en-US"/>
        </w:rPr>
      </w:pPr>
      <w:r>
        <w:rPr>
          <w:lang w:val="en-US" w:eastAsia="en-US"/>
        </w:rPr>
      </w: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14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1985" w:type="dxa"/>
            <w:vAlign w:val="top"/>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tcBorders>
              <w:bottom w:val="single" w:color="000000" w:sz="4" w:space="0"/>
            </w:tcBorders>
            <w:tcW w:w="3260" w:type="dxa"/>
            <w:vAlign w:val="top"/>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2"/>
              <w:jc w:val="center"/>
              <w:rPr>
                <w:sz w:val="20"/>
                <w:szCs w:val="20"/>
              </w:rPr>
            </w:pPr>
            <w:r>
              <w:rPr>
                <w:sz w:val="20"/>
                <w:szCs w:val="20"/>
              </w:rPr>
              <w:t xml:space="preserve">4.1.</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2"/>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2"/>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2"/>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2"/>
              <w:jc w:val="center"/>
              <w:rPr>
                <w:sz w:val="20"/>
                <w:szCs w:val="20"/>
              </w:rPr>
            </w:pPr>
            <w:r>
              <w:rPr>
                <w:sz w:val="20"/>
                <w:szCs w:val="20"/>
              </w:rPr>
              <w:t xml:space="preserve">4.2.</w:t>
            </w:r>
            <w:r>
              <w:rPr>
                <w:sz w:val="20"/>
                <w:szCs w:val="20"/>
              </w:rPr>
            </w:r>
            <w:r>
              <w:rPr>
                <w:sz w:val="20"/>
                <w:szCs w:val="20"/>
              </w:rPr>
            </w:r>
          </w:p>
        </w:tc>
        <w:tc>
          <w:tcPr>
            <w:gridSpan w:val="3"/>
            <w:tcW w:w="9214" w:type="dxa"/>
            <w:vAlign w:val="top"/>
            <w:textDirection w:val="lrTb"/>
            <w:noWrap w:val="false"/>
          </w:tcPr>
          <w:p>
            <w:pPr>
              <w:pStyle w:val="1142"/>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2"/>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2"/>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2"/>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2"/>
              <w:rPr>
                <w:sz w:val="20"/>
                <w:szCs w:val="20"/>
              </w:rPr>
            </w:pPr>
            <w:r>
              <w:rPr>
                <w:sz w:val="20"/>
                <w:szCs w:val="20"/>
              </w:rPr>
              <w:t xml:space="preserve">«по предъявлении»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42"/>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bottom w:val="none" w:color="000000" w:sz="4" w:space="0"/>
            </w:tcBorders>
            <w:tcW w:w="3260" w:type="dxa"/>
            <w:vAlign w:val="top"/>
            <w:textDirection w:val="lrTb"/>
            <w:noWrap w:val="false"/>
          </w:tcPr>
          <w:p>
            <w:pPr>
              <w:pStyle w:val="1142"/>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2"/>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42"/>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none" w:color="000000" w:sz="4" w:space="0"/>
              <w:bottom w:val="single" w:color="000000" w:sz="4" w:space="0"/>
            </w:tcBorders>
            <w:tcW w:w="3260"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42"/>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Borders>
              <w:top w:val="single" w:color="000000" w:sz="4" w:space="0"/>
            </w:tcBorders>
            <w:tcW w:w="1985" w:type="dxa"/>
            <w:vAlign w:val="top"/>
            <w:textDirection w:val="lrTb"/>
            <w:noWrap w:val="false"/>
          </w:tcPr>
          <w:p>
            <w:pPr>
              <w:pStyle w:val="1142"/>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tcBorders>
            <w:tcW w:w="3260"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2"/>
              <w:jc w:val="center"/>
              <w:rPr>
                <w:sz w:val="20"/>
                <w:szCs w:val="20"/>
              </w:rPr>
            </w:pPr>
            <w:r>
              <w:rPr>
                <w:sz w:val="20"/>
                <w:szCs w:val="20"/>
              </w:rPr>
              <w:t xml:space="preserve">4.3.</w:t>
            </w:r>
            <w:r>
              <w:rPr>
                <w:sz w:val="20"/>
                <w:szCs w:val="20"/>
              </w:rPr>
            </w:r>
            <w:r>
              <w:rPr>
                <w:sz w:val="20"/>
                <w:szCs w:val="20"/>
              </w:rPr>
            </w:r>
          </w:p>
        </w:tc>
        <w:tc>
          <w:tcPr>
            <w:gridSpan w:val="3"/>
            <w:tcW w:w="9214" w:type="dxa"/>
            <w:vAlign w:val="top"/>
            <w:textDirection w:val="lrTb"/>
            <w:noWrap w:val="false"/>
          </w:tcPr>
          <w:p>
            <w:pPr>
              <w:pStyle w:val="1142"/>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2"/>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1142"/>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42"/>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42"/>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42"/>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60" w:type="dxa"/>
            <w:vAlign w:val="top"/>
            <w:textDirection w:val="lrTb"/>
            <w:noWrap w:val="false"/>
          </w:tcPr>
          <w:p>
            <w:pPr>
              <w:pStyle w:val="1142"/>
              <w:jc w:val="both"/>
              <w:spacing w:before="40"/>
              <w:rPr>
                <w:sz w:val="20"/>
                <w:szCs w:val="20"/>
              </w:rPr>
            </w:pPr>
            <w:r>
              <w:rPr>
                <w:sz w:val="20"/>
                <w:szCs w:val="20"/>
              </w:rPr>
              <w:t xml:space="preserve">Комиссия включает НДС.</w:t>
            </w:r>
            <w:r>
              <w:rPr>
                <w:sz w:val="20"/>
                <w:szCs w:val="20"/>
              </w:rPr>
            </w:r>
            <w:r>
              <w:rPr>
                <w:sz w:val="20"/>
                <w:szCs w:val="20"/>
              </w:rPr>
            </w:r>
          </w:p>
          <w:p>
            <w:pPr>
              <w:pStyle w:val="1142"/>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42"/>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42"/>
      </w:pPr>
      <w:r/>
      <w:bookmarkStart w:id="32" w:name="_Toc341179150"/>
      <w:r/>
      <w:bookmarkStart w:id="33" w:name="_Toc341179207"/>
      <w:r/>
      <w:r/>
    </w:p>
    <w:p>
      <w:pPr>
        <w:pStyle w:val="1146"/>
        <w:numPr>
          <w:ilvl w:val="0"/>
          <w:numId w:val="16"/>
        </w:numPr>
      </w:pPr>
      <w:r/>
      <w:bookmarkStart w:id="34" w:name="_Toc170984450"/>
      <w:r>
        <w:t xml:space="preserve">Документарные операции</w:t>
      </w:r>
      <w:bookmarkEnd w:id="32"/>
      <w:r/>
      <w:bookmarkEnd w:id="33"/>
      <w:r/>
      <w:bookmarkEnd w:id="34"/>
      <w:r/>
      <w:r/>
    </w:p>
    <w:p>
      <w:pPr>
        <w:pStyle w:val="1142"/>
        <w:rPr>
          <w:lang w:val="en-US" w:eastAsia="en-US"/>
        </w:rPr>
      </w:pPr>
      <w:r>
        <w:rPr>
          <w:lang w:val="en-US" w:eastAsia="en-US"/>
        </w:rPr>
      </w: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rPr>
                <w:b/>
                <w:sz w:val="22"/>
                <w:szCs w:val="22"/>
              </w:rPr>
            </w:pPr>
            <w:r>
              <w:rPr>
                <w:b/>
                <w:sz w:val="22"/>
                <w:szCs w:val="22"/>
              </w:rPr>
              <w:t xml:space="preserve">№</w:t>
            </w:r>
            <w:r>
              <w:rPr>
                <w:b/>
                <w:sz w:val="22"/>
                <w:szCs w:val="22"/>
              </w:rPr>
            </w:r>
            <w:r>
              <w:rPr>
                <w:b/>
                <w:sz w:val="22"/>
                <w:szCs w:val="22"/>
              </w:rPr>
            </w:r>
          </w:p>
          <w:p>
            <w:pPr>
              <w:pStyle w:val="1142"/>
              <w:jc w:val="center"/>
              <w:rPr>
                <w:b/>
                <w:sz w:val="22"/>
                <w:szCs w:val="22"/>
              </w:rPr>
            </w:pPr>
            <w:r>
              <w:rPr>
                <w:b/>
                <w:sz w:val="22"/>
                <w:szCs w:val="22"/>
              </w:rPr>
              <w:t xml:space="preserve">п/п </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2"/>
              <w:jc w:val="center"/>
              <w:rPr>
                <w:b/>
                <w:sz w:val="22"/>
                <w:szCs w:val="22"/>
              </w:rPr>
            </w:pPr>
            <w:r>
              <w:rPr>
                <w:b/>
                <w:sz w:val="22"/>
                <w:szCs w:val="22"/>
              </w:rPr>
              <w:t xml:space="preserve">Наименование услуги</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
                <w:sz w:val="22"/>
                <w:szCs w:val="22"/>
              </w:rPr>
            </w:pPr>
            <w:r>
              <w:rPr>
                <w:b/>
                <w:sz w:val="22"/>
                <w:szCs w:val="22"/>
              </w:rPr>
              <w:t xml:space="preserve">Тариф</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2"/>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2"/>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42"/>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42"/>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2"/>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114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2"/>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2"/>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42"/>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114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42"/>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4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2"/>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4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4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2"/>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2"/>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4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2"/>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2"/>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42"/>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r>
              <w:rPr>
                <w:rFonts w:eastAsia="Calibri"/>
                <w:iCs/>
                <w:sz w:val="20"/>
                <w:szCs w:val="20"/>
              </w:rPr>
            </w:r>
          </w:p>
          <w:p>
            <w:pPr>
              <w:pStyle w:val="1142"/>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2"/>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2"/>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2"/>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114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2"/>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42"/>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42"/>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p>
            <w:pPr>
              <w:pStyle w:val="1142"/>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42"/>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4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42"/>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2"/>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42"/>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p>
            <w:pPr>
              <w:pStyle w:val="1142"/>
              <w:jc w:val="both"/>
              <w:rPr>
                <w:bCs/>
                <w:color w:val="000000"/>
                <w:sz w:val="20"/>
                <w:szCs w:val="20"/>
              </w:rPr>
            </w:pPr>
            <w:r>
              <w:rPr>
                <w:bCs/>
                <w:color w:val="000000"/>
                <w:sz w:val="20"/>
                <w:szCs w:val="20"/>
              </w:rPr>
            </w:r>
            <w:r>
              <w:rPr>
                <w:bCs/>
                <w:color w:val="000000"/>
                <w:sz w:val="20"/>
                <w:szCs w:val="20"/>
              </w:rPr>
            </w:r>
            <w:r>
              <w:rPr>
                <w:bCs/>
                <w:color w:val="000000"/>
                <w:sz w:val="20"/>
                <w:szCs w:val="20"/>
              </w:rPr>
            </w:r>
          </w:p>
          <w:p>
            <w:pPr>
              <w:pStyle w:val="1142"/>
              <w:jc w:val="both"/>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42"/>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1142"/>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42"/>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42"/>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42"/>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42"/>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42"/>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42"/>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42"/>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42"/>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p>
            <w:pPr>
              <w:pStyle w:val="1142"/>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42"/>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42"/>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2"/>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42"/>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42"/>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sz w:val="20"/>
                <w:szCs w:val="20"/>
              </w:rPr>
            </w:pPr>
            <w:r>
              <w:rPr>
                <w:sz w:val="20"/>
                <w:szCs w:val="20"/>
              </w:rPr>
              <w:t xml:space="preserve">0,15% от суммы,</w:t>
            </w:r>
            <w:r>
              <w:rPr>
                <w:sz w:val="20"/>
                <w:szCs w:val="20"/>
              </w:rPr>
            </w:r>
            <w:r>
              <w:rPr>
                <w:sz w:val="20"/>
                <w:szCs w:val="20"/>
              </w:rPr>
            </w:r>
          </w:p>
          <w:p>
            <w:pPr>
              <w:pStyle w:val="114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4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sz w:val="20"/>
                <w:szCs w:val="20"/>
              </w:rPr>
            </w:pPr>
            <w:r>
              <w:rPr>
                <w:sz w:val="20"/>
                <w:szCs w:val="20"/>
              </w:rPr>
              <w:t xml:space="preserve">0,15% от суммы,</w:t>
            </w:r>
            <w:r>
              <w:rPr>
                <w:sz w:val="20"/>
                <w:szCs w:val="20"/>
              </w:rPr>
            </w:r>
            <w:r>
              <w:rPr>
                <w:sz w:val="20"/>
                <w:szCs w:val="20"/>
              </w:rPr>
            </w:r>
          </w:p>
          <w:p>
            <w:pPr>
              <w:pStyle w:val="1142"/>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42"/>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42"/>
              <w:jc w:val="center"/>
              <w:spacing w:before="40" w:after="40"/>
            </w:pPr>
            <w:r>
              <w:rPr>
                <w:sz w:val="20"/>
                <w:szCs w:val="20"/>
                <w:lang w:val="en-US"/>
              </w:rPr>
              <w:t xml:space="preserve">5</w:t>
            </w:r>
            <w:r>
              <w:rPr>
                <w:sz w:val="20"/>
                <w:szCs w:val="20"/>
              </w:rPr>
              <w:t xml:space="preserve">.4.5</w:t>
            </w: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42"/>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42"/>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42"/>
              <w:rPr>
                <w:sz w:val="20"/>
                <w:szCs w:val="20"/>
              </w:rPr>
            </w:pPr>
            <w:r>
              <w:rPr>
                <w:sz w:val="20"/>
                <w:szCs w:val="20"/>
              </w:rPr>
            </w:r>
            <w:r>
              <w:rPr>
                <w:sz w:val="20"/>
                <w:szCs w:val="20"/>
              </w:rPr>
            </w:r>
            <w:r>
              <w:rPr>
                <w:sz w:val="20"/>
                <w:szCs w:val="20"/>
              </w:rPr>
            </w:r>
          </w:p>
        </w:tc>
      </w:tr>
    </w:tbl>
    <w:p>
      <w:pPr>
        <w:pStyle w:val="1142"/>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42"/>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42"/>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42"/>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42"/>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42"/>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42"/>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42"/>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42"/>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42"/>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46"/>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2"/>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42"/>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42"/>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1142"/>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2"/>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42"/>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42"/>
              <w:jc w:val="both"/>
              <w:rPr>
                <w:sz w:val="20"/>
                <w:szCs w:val="20"/>
              </w:rPr>
            </w:pPr>
            <w:r>
              <w:rPr>
                <w:sz w:val="20"/>
                <w:szCs w:val="20"/>
              </w:rPr>
            </w:r>
            <w:r>
              <w:rPr>
                <w:sz w:val="20"/>
                <w:szCs w:val="20"/>
              </w:rPr>
            </w:r>
            <w:r>
              <w:rPr>
                <w:sz w:val="20"/>
                <w:szCs w:val="20"/>
              </w:rPr>
            </w:r>
          </w:p>
          <w:p>
            <w:pPr>
              <w:pStyle w:val="114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2"/>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42"/>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r>
              <w:rPr>
                <w:rFonts w:eastAsia="Calibri"/>
                <w:sz w:val="20"/>
                <w:szCs w:val="20"/>
              </w:rPr>
            </w:r>
          </w:p>
          <w:p>
            <w:pPr>
              <w:pStyle w:val="114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2"/>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1142"/>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2"/>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42"/>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42"/>
              <w:jc w:val="both"/>
              <w:rPr>
                <w:sz w:val="20"/>
                <w:szCs w:val="20"/>
              </w:rPr>
            </w:pPr>
            <w:r>
              <w:rPr>
                <w:sz w:val="20"/>
                <w:szCs w:val="20"/>
              </w:rPr>
            </w:r>
            <w:r>
              <w:rPr>
                <w:sz w:val="20"/>
                <w:szCs w:val="20"/>
              </w:rPr>
            </w:r>
            <w:r>
              <w:rPr>
                <w:sz w:val="20"/>
                <w:szCs w:val="20"/>
              </w:rPr>
            </w:r>
          </w:p>
          <w:p>
            <w:pPr>
              <w:pStyle w:val="114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2"/>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42"/>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42"/>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42"/>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42"/>
              <w:jc w:val="center"/>
              <w:spacing w:before="40"/>
              <w:rPr>
                <w:sz w:val="20"/>
                <w:szCs w:val="20"/>
              </w:rPr>
            </w:pPr>
            <w:r>
              <w:rPr>
                <w:sz w:val="20"/>
                <w:szCs w:val="20"/>
              </w:rPr>
              <w:t xml:space="preserve">6.2.2.</w:t>
            </w:r>
            <w:r>
              <w:rPr>
                <w:sz w:val="20"/>
                <w:szCs w:val="20"/>
              </w:rPr>
            </w:r>
            <w:r>
              <w:rPr>
                <w:sz w:val="20"/>
                <w:szCs w:val="20"/>
              </w:rPr>
            </w:r>
          </w:p>
          <w:p>
            <w:pPr>
              <w:pStyle w:val="114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42"/>
              <w:jc w:val="both"/>
              <w:rPr>
                <w:sz w:val="20"/>
                <w:szCs w:val="20"/>
              </w:rPr>
            </w:pPr>
            <w:r>
              <w:rPr>
                <w:sz w:val="20"/>
                <w:szCs w:val="20"/>
              </w:rPr>
            </w:r>
            <w:r>
              <w:rPr>
                <w:sz w:val="20"/>
                <w:szCs w:val="20"/>
              </w:rPr>
            </w:r>
            <w:r>
              <w:rPr>
                <w:sz w:val="20"/>
                <w:szCs w:val="20"/>
              </w:rPr>
            </w:r>
          </w:p>
          <w:p>
            <w:pPr>
              <w:pStyle w:val="1142"/>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42"/>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42"/>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42"/>
              <w:jc w:val="both"/>
              <w:rPr>
                <w:b/>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2"/>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4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2"/>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2"/>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2"/>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2"/>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4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2"/>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2"/>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2"/>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4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42"/>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2"/>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2"/>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42"/>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42"/>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42"/>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42"/>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42"/>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42"/>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42"/>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42"/>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42"/>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42"/>
      </w:pPr>
      <w:r/>
      <w:r/>
    </w:p>
    <w:p>
      <w:pPr>
        <w:pStyle w:val="1146"/>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1142"/>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42"/>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42"/>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42"/>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42"/>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1142"/>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42"/>
              <w:spacing w:before="40" w:after="40"/>
              <w:rPr>
                <w:bCs/>
                <w:sz w:val="20"/>
                <w:szCs w:val="20"/>
                <w:lang w:val="en-US"/>
              </w:rPr>
            </w:pPr>
            <w:r>
              <w:rPr>
                <w:bCs/>
                <w:sz w:val="20"/>
                <w:szCs w:val="20"/>
              </w:rPr>
              <w:t xml:space="preserve">- по г. </w:t>
            </w:r>
            <w:r>
              <w:rPr>
                <w:bCs/>
                <w:sz w:val="20"/>
                <w:szCs w:val="20"/>
              </w:rPr>
              <w:t xml:space="preserve">Казань</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42"/>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4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42"/>
              <w:spacing w:before="40" w:after="40"/>
              <w:rPr>
                <w:bCs/>
                <w:sz w:val="20"/>
                <w:szCs w:val="20"/>
              </w:rPr>
            </w:pPr>
            <w:r>
              <w:rPr>
                <w:bCs/>
                <w:sz w:val="20"/>
                <w:szCs w:val="20"/>
              </w:rPr>
              <w:t xml:space="preserve">- по </w:t>
            </w:r>
            <w:r>
              <w:rPr>
                <w:bCs/>
                <w:sz w:val="20"/>
                <w:szCs w:val="20"/>
              </w:rPr>
              <w:t xml:space="preserve">Республике Татарстан  </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42"/>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4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42"/>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42"/>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1142"/>
              <w:jc w:val="center"/>
              <w:spacing w:before="40"/>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1142"/>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42"/>
              <w:jc w:val="both"/>
              <w:spacing w:before="40"/>
              <w:rPr>
                <w:sz w:val="20"/>
                <w:szCs w:val="20"/>
              </w:rPr>
            </w:pPr>
            <w:r>
              <w:rPr>
                <w:sz w:val="20"/>
                <w:szCs w:val="20"/>
              </w:rPr>
            </w:r>
            <w:r>
              <w:rPr>
                <w:sz w:val="20"/>
                <w:szCs w:val="20"/>
              </w:rPr>
            </w:r>
            <w:r>
              <w:rPr>
                <w:sz w:val="20"/>
                <w:szCs w:val="20"/>
              </w:rPr>
            </w:r>
          </w:p>
          <w:p>
            <w:pPr>
              <w:pStyle w:val="1142"/>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42"/>
              <w:jc w:val="both"/>
              <w:spacing w:before="40"/>
              <w:rPr>
                <w:sz w:val="20"/>
                <w:szCs w:val="20"/>
              </w:rPr>
            </w:pPr>
            <w:r>
              <w:rPr>
                <w:sz w:val="20"/>
                <w:szCs w:val="20"/>
              </w:rPr>
            </w:r>
            <w:r>
              <w:rPr>
                <w:sz w:val="20"/>
                <w:szCs w:val="20"/>
              </w:rPr>
            </w:r>
            <w:r>
              <w:rPr>
                <w:sz w:val="20"/>
                <w:szCs w:val="20"/>
              </w:rPr>
            </w:r>
          </w:p>
          <w:p>
            <w:pPr>
              <w:pStyle w:val="1142"/>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42"/>
              <w:jc w:val="both"/>
              <w:spacing w:before="40"/>
              <w:rPr>
                <w:sz w:val="20"/>
                <w:szCs w:val="20"/>
              </w:rPr>
            </w:pPr>
            <w:r>
              <w:rPr>
                <w:sz w:val="20"/>
                <w:szCs w:val="20"/>
              </w:rPr>
            </w:r>
            <w:r>
              <w:rPr>
                <w:sz w:val="20"/>
                <w:szCs w:val="20"/>
              </w:rPr>
            </w:r>
            <w:r>
              <w:rPr>
                <w:sz w:val="20"/>
                <w:szCs w:val="20"/>
              </w:rPr>
            </w:r>
          </w:p>
          <w:p>
            <w:pPr>
              <w:pStyle w:val="1142"/>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42"/>
              <w:jc w:val="both"/>
              <w:spacing w:before="40"/>
              <w:rPr>
                <w:sz w:val="20"/>
                <w:szCs w:val="20"/>
              </w:rPr>
            </w:pPr>
            <w:r>
              <w:rPr>
                <w:sz w:val="20"/>
                <w:szCs w:val="20"/>
              </w:rPr>
            </w:r>
            <w:r>
              <w:rPr>
                <w:sz w:val="20"/>
                <w:szCs w:val="20"/>
              </w:rPr>
            </w:r>
            <w:r>
              <w:rPr>
                <w:sz w:val="20"/>
                <w:szCs w:val="20"/>
              </w:rPr>
            </w:r>
          </w:p>
          <w:p>
            <w:pPr>
              <w:pStyle w:val="1142"/>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42"/>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42"/>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42"/>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2"/>
              <w:jc w:val="both"/>
              <w:spacing w:before="40"/>
              <w:rPr>
                <w:sz w:val="20"/>
                <w:szCs w:val="20"/>
              </w:rPr>
            </w:pPr>
            <w:r>
              <w:rPr>
                <w:sz w:val="20"/>
                <w:szCs w:val="20"/>
              </w:rPr>
            </w:r>
            <w:r>
              <w:rPr>
                <w:sz w:val="20"/>
                <w:szCs w:val="20"/>
              </w:rPr>
            </w:r>
            <w:r>
              <w:rPr>
                <w:sz w:val="20"/>
                <w:szCs w:val="20"/>
              </w:rPr>
            </w:r>
          </w:p>
          <w:p>
            <w:pPr>
              <w:pStyle w:val="1142"/>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1142"/>
              <w:jc w:val="center"/>
              <w:rPr>
                <w:sz w:val="20"/>
                <w:szCs w:val="20"/>
              </w:rPr>
            </w:pPr>
            <w:r>
              <w:rPr>
                <w:sz w:val="20"/>
                <w:szCs w:val="20"/>
              </w:rPr>
              <w:t xml:space="preserve">5 000 руб. в месяц</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900 руб. в месяц</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Не взимается</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900 руб. в месяц</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Не взимается</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Не взимается</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t xml:space="preserve">Не взимается</w:t>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p>
            <w:pPr>
              <w:pStyle w:val="1142"/>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1142"/>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42"/>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2"/>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42"/>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42"/>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42"/>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42"/>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42"/>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42"/>
              <w:jc w:val="both"/>
              <w:spacing w:before="40"/>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p>
            <w:pPr>
              <w:pStyle w:val="114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1142"/>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2"/>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2"/>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2"/>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2"/>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2"/>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r>
              <w:rPr>
                <w:bCs/>
                <w:sz w:val="20"/>
                <w:szCs w:val="20"/>
              </w:rPr>
            </w:r>
          </w:p>
          <w:p>
            <w:pPr>
              <w:pStyle w:val="1142"/>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42"/>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42"/>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42"/>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42"/>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2"/>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42"/>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2"/>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42"/>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42"/>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42"/>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r>
            <w:r>
              <w:rPr>
                <w:bCs/>
                <w:sz w:val="20"/>
                <w:szCs w:val="20"/>
              </w:rPr>
            </w:r>
            <w:r>
              <w:rPr>
                <w:bCs/>
                <w:sz w:val="20"/>
                <w:szCs w:val="20"/>
              </w:rPr>
            </w:r>
          </w:p>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4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42"/>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42"/>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42"/>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42"/>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42"/>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42"/>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42"/>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2"/>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42"/>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42"/>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42"/>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42"/>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42"/>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1142"/>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42"/>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42"/>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42"/>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1142"/>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2"/>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42"/>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2"/>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42"/>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42"/>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42"/>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4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2"/>
              <w:jc w:val="center"/>
              <w:spacing w:before="40"/>
              <w:rPr>
                <w:bCs/>
                <w:sz w:val="20"/>
                <w:szCs w:val="20"/>
              </w:rPr>
            </w:pPr>
            <w:r>
              <w:rPr>
                <w:bCs/>
                <w:sz w:val="20"/>
                <w:szCs w:val="20"/>
              </w:rPr>
            </w:r>
            <w:r>
              <w:rPr>
                <w:bCs/>
                <w:sz w:val="20"/>
                <w:szCs w:val="20"/>
              </w:rPr>
            </w:r>
            <w:r>
              <w:rPr>
                <w:bCs/>
                <w:sz w:val="20"/>
                <w:szCs w:val="20"/>
              </w:rPr>
            </w:r>
          </w:p>
          <w:p>
            <w:pPr>
              <w:pStyle w:val="1142"/>
              <w:jc w:val="center"/>
              <w:spacing w:before="40"/>
              <w:rPr>
                <w:bCs/>
                <w:sz w:val="20"/>
                <w:szCs w:val="20"/>
              </w:rPr>
            </w:pPr>
            <w:r>
              <w:rPr>
                <w:bCs/>
                <w:sz w:val="20"/>
                <w:szCs w:val="20"/>
              </w:rPr>
            </w:r>
            <w:r>
              <w:rPr>
                <w:bCs/>
                <w:sz w:val="20"/>
                <w:szCs w:val="20"/>
              </w:rPr>
            </w:r>
            <w:r>
              <w:rPr>
                <w:bCs/>
                <w:sz w:val="20"/>
                <w:szCs w:val="20"/>
              </w:rPr>
            </w:r>
          </w:p>
          <w:p>
            <w:pPr>
              <w:pStyle w:val="1142"/>
              <w:jc w:val="center"/>
              <w:spacing w:before="40"/>
              <w:rPr>
                <w:bCs/>
                <w:sz w:val="20"/>
                <w:szCs w:val="20"/>
              </w:rPr>
            </w:pPr>
            <w:r>
              <w:rPr>
                <w:bCs/>
                <w:sz w:val="20"/>
                <w:szCs w:val="20"/>
              </w:rPr>
            </w:r>
            <w:r>
              <w:rPr>
                <w:bCs/>
                <w:sz w:val="20"/>
                <w:szCs w:val="20"/>
              </w:rPr>
            </w:r>
            <w:r>
              <w:rPr>
                <w:bCs/>
                <w:sz w:val="20"/>
                <w:szCs w:val="20"/>
              </w:rPr>
            </w:r>
          </w:p>
          <w:p>
            <w:pPr>
              <w:pStyle w:val="1142"/>
              <w:jc w:val="center"/>
              <w:spacing w:before="40"/>
              <w:rPr>
                <w:bCs/>
                <w:sz w:val="20"/>
                <w:szCs w:val="20"/>
              </w:rPr>
            </w:pPr>
            <w:r>
              <w:rPr>
                <w:bCs/>
                <w:sz w:val="20"/>
                <w:szCs w:val="20"/>
              </w:rPr>
            </w:r>
            <w:r>
              <w:rPr>
                <w:bCs/>
                <w:sz w:val="20"/>
                <w:szCs w:val="20"/>
              </w:rPr>
            </w:r>
            <w:r>
              <w:rPr>
                <w:bCs/>
                <w:sz w:val="20"/>
                <w:szCs w:val="20"/>
              </w:rPr>
            </w:r>
          </w:p>
          <w:p>
            <w:pPr>
              <w:pStyle w:val="1142"/>
              <w:jc w:val="center"/>
              <w:spacing w:before="40"/>
              <w:rPr>
                <w:bCs/>
                <w:sz w:val="20"/>
                <w:szCs w:val="20"/>
              </w:rPr>
            </w:pPr>
            <w:r>
              <w:rPr>
                <w:bCs/>
                <w:sz w:val="20"/>
                <w:szCs w:val="20"/>
              </w:rPr>
            </w:r>
            <w:r>
              <w:rPr>
                <w:bCs/>
                <w:sz w:val="20"/>
                <w:szCs w:val="20"/>
              </w:rPr>
            </w:r>
            <w:r>
              <w:rPr>
                <w:bCs/>
                <w:sz w:val="20"/>
                <w:szCs w:val="20"/>
              </w:rPr>
            </w:r>
          </w:p>
          <w:p>
            <w:pPr>
              <w:pStyle w:val="114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4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4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42"/>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2"/>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2"/>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2"/>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42"/>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42"/>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2"/>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42"/>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42"/>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42"/>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4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2"/>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42"/>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2"/>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42"/>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42"/>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42"/>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2"/>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42"/>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42"/>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42"/>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42"/>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42"/>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42"/>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42"/>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42"/>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42"/>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gridSpan w:val="2"/>
            <w:tcW w:w="2407" w:type="dxa"/>
            <w:vAlign w:val="top"/>
            <w:textDirection w:val="lrTb"/>
            <w:noWrap w:val="false"/>
          </w:tcPr>
          <w:p>
            <w:pPr>
              <w:pStyle w:val="1142"/>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2"/>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1142"/>
            </w:pPr>
            <w:r>
              <w:t xml:space="preserve">Сервис «SMS информирование»</w:t>
            </w:r>
            <w:r/>
          </w:p>
          <w:p>
            <w:pPr>
              <w:pStyle w:val="1142"/>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42"/>
              <w:jc w:val="center"/>
              <w:spacing w:before="40" w:after="40"/>
              <w:rPr>
                <w:bCs/>
                <w:sz w:val="20"/>
                <w:szCs w:val="20"/>
              </w:rPr>
            </w:pPr>
            <w:r>
              <w:rPr>
                <w:bCs/>
                <w:sz w:val="20"/>
                <w:szCs w:val="20"/>
              </w:rPr>
              <w:t xml:space="preserve">7.9.1.</w:t>
            </w:r>
            <w:r>
              <w:rPr>
                <w:bCs/>
                <w:sz w:val="20"/>
                <w:szCs w:val="20"/>
              </w:rPr>
            </w:r>
            <w:r>
              <w:rPr>
                <w:bCs/>
                <w:sz w:val="20"/>
                <w:szCs w:val="20"/>
              </w:rPr>
            </w:r>
          </w:p>
        </w:tc>
        <w:tc>
          <w:tcPr>
            <w:tcBorders>
              <w:bottom w:val="single" w:color="000000" w:sz="4" w:space="0"/>
            </w:tcBorders>
            <w:tcW w:w="2854" w:type="dxa"/>
            <w:vAlign w:val="top"/>
            <w:textDirection w:val="lrTb"/>
            <w:noWrap w:val="false"/>
          </w:tcPr>
          <w:p>
            <w:pPr>
              <w:pStyle w:val="1142"/>
              <w:spacing w:before="40" w:after="40"/>
              <w:rPr>
                <w:bCs/>
                <w:sz w:val="20"/>
                <w:szCs w:val="20"/>
              </w:rPr>
            </w:pPr>
            <w:r>
              <w:rPr>
                <w:bCs/>
                <w:sz w:val="20"/>
                <w:szCs w:val="20"/>
              </w:rPr>
              <w:t xml:space="preserve">Комиссионное вознаграждение (абонентская плата) </w:t>
            </w:r>
            <w:r>
              <w:rPr>
                <w:bCs/>
                <w:sz w:val="20"/>
                <w:szCs w:val="20"/>
              </w:rPr>
            </w:r>
            <w:r>
              <w:rPr>
                <w:bCs/>
                <w:sz w:val="20"/>
                <w:szCs w:val="20"/>
              </w:rPr>
            </w:r>
          </w:p>
          <w:p>
            <w:pPr>
              <w:pStyle w:val="1142"/>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1142"/>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r>
              <w:rPr>
                <w:bCs/>
                <w:sz w:val="20"/>
                <w:szCs w:val="20"/>
              </w:rPr>
            </w:r>
          </w:p>
          <w:p>
            <w:pPr>
              <w:pStyle w:val="1142"/>
              <w:jc w:val="center"/>
              <w:spacing w:before="40" w:after="40"/>
              <w:rPr>
                <w:bCs/>
                <w:sz w:val="20"/>
                <w:szCs w:val="20"/>
              </w:rPr>
            </w:pPr>
            <w:r>
              <w:rPr>
                <w:bCs/>
                <w:sz w:val="20"/>
                <w:szCs w:val="20"/>
              </w:rPr>
              <w:t xml:space="preserve">к Сервису, </w:t>
            </w:r>
            <w:r>
              <w:rPr>
                <w:bCs/>
                <w:sz w:val="20"/>
                <w:szCs w:val="20"/>
              </w:rPr>
            </w:r>
            <w:r>
              <w:rPr>
                <w:bCs/>
                <w:sz w:val="20"/>
                <w:szCs w:val="20"/>
              </w:rPr>
            </w:r>
          </w:p>
          <w:p>
            <w:pPr>
              <w:pStyle w:val="1142"/>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1142"/>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42"/>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42"/>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42"/>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42"/>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1142"/>
        <w:jc w:val="both"/>
        <w:rPr>
          <w:bCs/>
          <w:iCs/>
          <w:sz w:val="20"/>
          <w:szCs w:val="20"/>
        </w:rPr>
      </w:pPr>
      <w:r>
        <w:rPr>
          <w:bCs/>
          <w:iCs/>
          <w:sz w:val="20"/>
          <w:szCs w:val="20"/>
        </w:rPr>
      </w:r>
      <w:r>
        <w:rPr>
          <w:bCs/>
          <w:iCs/>
          <w:sz w:val="20"/>
          <w:szCs w:val="20"/>
        </w:rPr>
      </w:r>
      <w:r>
        <w:rPr>
          <w:bCs/>
          <w:iCs/>
          <w:sz w:val="20"/>
          <w:szCs w:val="20"/>
        </w:rPr>
      </w:r>
    </w:p>
    <w:p>
      <w:pPr>
        <w:pStyle w:val="1142"/>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42"/>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r>
        <w:rPr>
          <w:bCs/>
          <w:i/>
          <w:sz w:val="20"/>
          <w:szCs w:val="20"/>
        </w:rPr>
      </w:r>
    </w:p>
    <w:p>
      <w:pPr>
        <w:pStyle w:val="1142"/>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42"/>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42"/>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42"/>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42"/>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42"/>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42"/>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1142"/>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2"/>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42"/>
        <w:jc w:val="both"/>
        <w:spacing w:before="40"/>
        <w:tabs>
          <w:tab w:val="left" w:pos="284" w:leader="none"/>
          <w:tab w:val="left" w:pos="1134" w:leader="none"/>
        </w:tabs>
        <w:rPr>
          <w:b/>
          <w:bCs/>
          <w:i/>
          <w:sz w:val="20"/>
          <w:szCs w:val="20"/>
        </w:rPr>
      </w:pPr>
      <w:r>
        <w:rPr>
          <w:b/>
          <w:bCs/>
          <w:i/>
          <w:sz w:val="20"/>
          <w:szCs w:val="20"/>
        </w:rPr>
      </w:r>
      <w:r>
        <w:rPr>
          <w:b/>
          <w:bCs/>
          <w:i/>
          <w:sz w:val="20"/>
          <w:szCs w:val="20"/>
        </w:rPr>
      </w:r>
      <w:r>
        <w:rPr>
          <w:b/>
          <w:bCs/>
          <w:i/>
          <w:sz w:val="20"/>
          <w:szCs w:val="20"/>
        </w:rPr>
      </w:r>
    </w:p>
    <w:p>
      <w:pPr>
        <w:pStyle w:val="1146"/>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1142"/>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1142"/>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2"/>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W w:w="1985" w:type="dxa"/>
            <w:vAlign w:val="top"/>
            <w:textDirection w:val="lrTb"/>
            <w:noWrap w:val="false"/>
          </w:tcPr>
          <w:p>
            <w:pPr>
              <w:pStyle w:val="1142"/>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W w:w="3260" w:type="dxa"/>
            <w:vAlign w:val="top"/>
            <w:textDirection w:val="lrTb"/>
            <w:noWrap w:val="false"/>
          </w:tcPr>
          <w:p>
            <w:pPr>
              <w:pStyle w:val="1142"/>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2"/>
              <w:jc w:val="center"/>
              <w:rPr>
                <w:sz w:val="20"/>
                <w:szCs w:val="20"/>
              </w:rPr>
            </w:pPr>
            <w:r>
              <w:rPr>
                <w:sz w:val="20"/>
                <w:szCs w:val="20"/>
              </w:rPr>
              <w:t xml:space="preserve">8.1.</w:t>
            </w:r>
            <w:r>
              <w:rPr>
                <w:sz w:val="20"/>
                <w:szCs w:val="20"/>
              </w:rPr>
            </w:r>
            <w:r>
              <w:rPr>
                <w:sz w:val="20"/>
                <w:szCs w:val="20"/>
              </w:rPr>
            </w:r>
          </w:p>
        </w:tc>
        <w:tc>
          <w:tcPr>
            <w:tcW w:w="3969" w:type="dxa"/>
            <w:vAlign w:val="top"/>
            <w:vMerge w:val="restart"/>
            <w:textDirection w:val="lrTb"/>
            <w:noWrap w:val="false"/>
          </w:tcPr>
          <w:p>
            <w:pPr>
              <w:pStyle w:val="1142"/>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42"/>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2"/>
              <w:jc w:val="center"/>
              <w:rPr>
                <w:sz w:val="20"/>
                <w:szCs w:val="20"/>
              </w:rPr>
            </w:pPr>
            <w:r>
              <w:rPr>
                <w:sz w:val="20"/>
                <w:szCs w:val="20"/>
              </w:rPr>
              <w:t xml:space="preserve">8.2.</w:t>
            </w:r>
            <w:r>
              <w:rPr>
                <w:sz w:val="20"/>
                <w:szCs w:val="20"/>
              </w:rPr>
            </w:r>
            <w:r>
              <w:rPr>
                <w:sz w:val="20"/>
                <w:szCs w:val="20"/>
              </w:rPr>
            </w:r>
          </w:p>
        </w:tc>
        <w:tc>
          <w:tcPr>
            <w:tcW w:w="3969" w:type="dxa"/>
            <w:vAlign w:val="top"/>
            <w:vMerge w:val="restart"/>
            <w:textDirection w:val="lrTb"/>
            <w:noWrap w:val="false"/>
          </w:tcPr>
          <w:p>
            <w:pPr>
              <w:pStyle w:val="1142"/>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1142"/>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2"/>
              <w:jc w:val="center"/>
              <w:rPr>
                <w:sz w:val="20"/>
                <w:szCs w:val="20"/>
              </w:rPr>
            </w:pPr>
            <w:r>
              <w:rPr>
                <w:sz w:val="20"/>
                <w:szCs w:val="20"/>
              </w:rPr>
              <w:t xml:space="preserve">8.3.</w:t>
            </w:r>
            <w:r>
              <w:rPr>
                <w:sz w:val="20"/>
                <w:szCs w:val="20"/>
              </w:rPr>
            </w:r>
            <w:r>
              <w:rPr>
                <w:sz w:val="20"/>
                <w:szCs w:val="20"/>
              </w:rPr>
            </w:r>
          </w:p>
        </w:tc>
        <w:tc>
          <w:tcPr>
            <w:tcW w:w="3969" w:type="dxa"/>
            <w:vAlign w:val="top"/>
            <w:vMerge w:val="restart"/>
            <w:textDirection w:val="lrTb"/>
            <w:noWrap w:val="false"/>
          </w:tcPr>
          <w:p>
            <w:pPr>
              <w:pStyle w:val="1142"/>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42"/>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42"/>
              <w:jc w:val="center"/>
              <w:rPr>
                <w:sz w:val="20"/>
                <w:szCs w:val="20"/>
              </w:rPr>
            </w:pPr>
            <w:r>
              <w:rPr>
                <w:sz w:val="20"/>
                <w:szCs w:val="20"/>
              </w:rPr>
              <w:t xml:space="preserve">8.4.</w:t>
            </w:r>
            <w:r>
              <w:rPr>
                <w:sz w:val="20"/>
                <w:szCs w:val="20"/>
              </w:rPr>
            </w:r>
            <w:r>
              <w:rPr>
                <w:sz w:val="20"/>
                <w:szCs w:val="20"/>
              </w:rPr>
            </w:r>
          </w:p>
        </w:tc>
        <w:tc>
          <w:tcPr>
            <w:tcW w:w="3969" w:type="dxa"/>
            <w:vAlign w:val="top"/>
            <w:vMerge w:val="restart"/>
            <w:textDirection w:val="lrTb"/>
            <w:noWrap w:val="false"/>
          </w:tcPr>
          <w:p>
            <w:pPr>
              <w:pStyle w:val="1142"/>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tc>
        <w:tc>
          <w:tcPr>
            <w:tcW w:w="1985" w:type="dxa"/>
            <w:vAlign w:val="top"/>
            <w:vMerge w:val="restart"/>
            <w:textDirection w:val="lrTb"/>
            <w:noWrap w:val="false"/>
          </w:tcPr>
          <w:p>
            <w:pPr>
              <w:pStyle w:val="1142"/>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42"/>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46"/>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42"/>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42"/>
              <w:rPr>
                <w:sz w:val="20"/>
                <w:szCs w:val="20"/>
              </w:rPr>
            </w:pPr>
            <w:r>
              <w:rPr>
                <w:sz w:val="20"/>
                <w:szCs w:val="20"/>
              </w:rPr>
            </w: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42"/>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42"/>
              <w:rPr>
                <w:sz w:val="20"/>
                <w:szCs w:val="20"/>
              </w:rPr>
            </w:pPr>
            <w:r>
              <w:rPr>
                <w:sz w:val="20"/>
                <w:szCs w:val="20"/>
              </w:rPr>
            </w: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2"/>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114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2"/>
              <w:rPr>
                <w:sz w:val="20"/>
                <w:szCs w:val="20"/>
              </w:rPr>
            </w:pPr>
            <w:r>
              <w:rPr>
                <w:sz w:val="20"/>
                <w:szCs w:val="20"/>
              </w:rPr>
              <w:t xml:space="preserve">9.1.</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sz w:val="20"/>
                <w:szCs w:val="20"/>
              </w:rPr>
            </w:pPr>
            <w:r>
              <w:rPr>
                <w:sz w:val="20"/>
                <w:szCs w:val="20"/>
              </w:rPr>
              <w:t xml:space="preserve"> </w:t>
            </w:r>
            <w:r>
              <w:rPr>
                <w:sz w:val="20"/>
                <w:szCs w:val="20"/>
              </w:rPr>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1142"/>
              <w:jc w:val="center"/>
              <w:rPr>
                <w:sz w:val="18"/>
                <w:szCs w:val="18"/>
              </w:rPr>
            </w:pPr>
            <w:r>
              <w:rPr>
                <w:sz w:val="18"/>
                <w:szCs w:val="18"/>
              </w:rPr>
              <w:t xml:space="preserve"> </w:t>
            </w:r>
            <w:r>
              <w:rPr>
                <w:sz w:val="18"/>
                <w:szCs w:val="18"/>
              </w:rPr>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2"/>
              <w:rPr>
                <w:sz w:val="20"/>
                <w:szCs w:val="20"/>
              </w:rPr>
            </w:pPr>
            <w:r>
              <w:rPr>
                <w:sz w:val="20"/>
                <w:szCs w:val="20"/>
              </w:rPr>
              <w:t xml:space="preserve">9.1.1.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w:t>
            </w:r>
            <w:r>
              <w:rPr>
                <w:color w:val="000000"/>
                <w:sz w:val="20"/>
                <w:szCs w:val="20"/>
              </w:rPr>
              <w:t xml:space="preserve">75</w:t>
            </w:r>
            <w:r>
              <w:rPr>
                <w:color w:val="000000"/>
                <w:sz w:val="20"/>
                <w:szCs w:val="20"/>
              </w:rPr>
              <w:t xml:space="preserve">х</w:t>
            </w:r>
            <w:r>
              <w:rPr>
                <w:color w:val="000000"/>
                <w:sz w:val="20"/>
                <w:szCs w:val="20"/>
              </w:rPr>
              <w:t xml:space="preserve">220</w:t>
            </w:r>
            <w:r>
              <w:rPr>
                <w:color w:val="000000"/>
                <w:sz w:val="20"/>
                <w:szCs w:val="20"/>
              </w:rPr>
              <w:t xml:space="preserve">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2"/>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top"/>
            <w:vMerge w:val="restart"/>
            <w:textDirection w:val="lrTb"/>
            <w:noWrap w:val="false"/>
          </w:tcPr>
          <w:p>
            <w:pPr>
              <w:pStyle w:val="1142"/>
              <w:rPr>
                <w:color w:val="000000"/>
                <w:sz w:val="18"/>
                <w:szCs w:val="18"/>
              </w:rPr>
            </w:pPr>
            <w:r>
              <w:rPr>
                <w:color w:val="000000"/>
                <w:sz w:val="18"/>
                <w:szCs w:val="18"/>
              </w:rPr>
              <w:t xml:space="preserve">Тариф включает </w:t>
            </w:r>
            <w:r>
              <w:rPr>
                <w:color w:val="000000"/>
                <w:sz w:val="18"/>
                <w:szCs w:val="18"/>
              </w:rPr>
              <w:t xml:space="preserve"> в себя НДС(дополнительно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  </w:t>
            </w:r>
            <w:r>
              <w:rPr>
                <w:color w:val="000000"/>
                <w:sz w:val="18"/>
                <w:szCs w:val="18"/>
              </w:rPr>
            </w:r>
            <w:r>
              <w:rPr>
                <w:color w:val="000000"/>
                <w:sz w:val="18"/>
                <w:szCs w:val="18"/>
              </w:rPr>
            </w:r>
          </w:p>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255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top"/>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360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615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16</w:t>
            </w:r>
            <w:r>
              <w:rPr>
                <w:color w:val="000000"/>
                <w:sz w:val="20"/>
                <w:szCs w:val="20"/>
              </w:rPr>
              <w:t xml:space="preserve"> руб. в день;</w:t>
            </w:r>
            <w:r>
              <w:rPr>
                <w:color w:val="000000"/>
                <w:sz w:val="20"/>
                <w:szCs w:val="20"/>
              </w:rPr>
            </w:r>
            <w:r>
              <w:rPr>
                <w:color w:val="000000"/>
                <w:sz w:val="20"/>
                <w:szCs w:val="20"/>
              </w:rPr>
            </w:r>
          </w:p>
          <w:p>
            <w:pPr>
              <w:pStyle w:val="1142"/>
              <w:jc w:val="cente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2"/>
              <w:rPr>
                <w:sz w:val="20"/>
                <w:szCs w:val="20"/>
              </w:rPr>
            </w:pPr>
            <w:r>
              <w:rPr>
                <w:sz w:val="20"/>
                <w:szCs w:val="20"/>
              </w:rPr>
              <w:t xml:space="preserve">9.1.2.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w:t>
            </w:r>
            <w:r>
              <w:rPr>
                <w:color w:val="000000"/>
                <w:sz w:val="20"/>
                <w:szCs w:val="20"/>
              </w:rPr>
              <w:t xml:space="preserve">50</w:t>
            </w:r>
            <w:r>
              <w:rPr>
                <w:color w:val="000000"/>
                <w:sz w:val="20"/>
                <w:szCs w:val="20"/>
              </w:rPr>
              <w:t xml:space="preserve">х2</w:t>
            </w:r>
            <w:r>
              <w:rPr>
                <w:color w:val="000000"/>
                <w:sz w:val="20"/>
                <w:szCs w:val="20"/>
              </w:rPr>
              <w:t xml:space="preserve">2</w:t>
            </w:r>
            <w:r>
              <w:rPr>
                <w:color w:val="000000"/>
                <w:sz w:val="20"/>
                <w:szCs w:val="20"/>
              </w:rPr>
              <w:t xml:space="preserve">0х</w:t>
            </w:r>
            <w:r>
              <w:rPr>
                <w:color w:val="000000"/>
                <w:sz w:val="20"/>
                <w:szCs w:val="20"/>
              </w:rPr>
              <w:t xml:space="preserve">3</w:t>
            </w:r>
            <w:r>
              <w:rPr>
                <w:color w:val="000000"/>
                <w:sz w:val="20"/>
                <w:szCs w:val="20"/>
              </w:rPr>
              <w:t xml:space="preserve">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2"/>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3</w:t>
            </w:r>
            <w:r>
              <w:rPr>
                <w:color w:val="000000"/>
                <w:sz w:val="20"/>
                <w:szCs w:val="20"/>
              </w:rPr>
              <w:t xml:space="preserve">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510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920</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26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21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181 до 365 дней</w:t>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19</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42"/>
              <w:rPr>
                <w:sz w:val="20"/>
                <w:szCs w:val="20"/>
              </w:rPr>
            </w:pPr>
            <w:r>
              <w:rPr>
                <w:sz w:val="20"/>
                <w:szCs w:val="20"/>
              </w:rPr>
              <w:t xml:space="preserve">9.1.3.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w:t>
            </w:r>
            <w:r>
              <w:rPr>
                <w:color w:val="000000"/>
                <w:sz w:val="20"/>
                <w:szCs w:val="20"/>
              </w:rPr>
              <w:t xml:space="preserve">18</w:t>
            </w:r>
            <w:r>
              <w:rPr>
                <w:color w:val="000000"/>
                <w:sz w:val="20"/>
                <w:szCs w:val="20"/>
              </w:rPr>
              <w:t xml:space="preserve">х</w:t>
            </w:r>
            <w:r>
              <w:rPr>
                <w:color w:val="000000"/>
                <w:sz w:val="20"/>
                <w:szCs w:val="20"/>
              </w:rPr>
              <w:t xml:space="preserve">38</w:t>
            </w:r>
            <w:r>
              <w:rPr>
                <w:color w:val="000000"/>
                <w:sz w:val="20"/>
                <w:szCs w:val="20"/>
              </w:rPr>
              <w:t xml:space="preserve">0 (мм)</w:t>
            </w:r>
            <w:r>
              <w:rPr>
                <w:color w:val="000000"/>
                <w:sz w:val="20"/>
                <w:szCs w:val="20"/>
              </w:rPr>
              <w:t xml:space="preserve">, 300</w:t>
            </w:r>
            <w:r>
              <w:rPr>
                <w:color w:val="000000"/>
                <w:sz w:val="20"/>
                <w:szCs w:val="20"/>
                <w:lang w:val="en-US"/>
              </w:rPr>
              <w:t xml:space="preserve">x</w:t>
            </w:r>
            <w:r>
              <w:rPr>
                <w:color w:val="000000"/>
                <w:sz w:val="20"/>
                <w:szCs w:val="20"/>
              </w:rPr>
              <w:t xml:space="preserve">450</w:t>
            </w:r>
            <w:r>
              <w:rPr>
                <w:color w:val="000000"/>
                <w:sz w:val="20"/>
                <w:szCs w:val="20"/>
                <w:lang w:val="en-US"/>
              </w:rPr>
              <w:t xml:space="preserve">x</w:t>
            </w:r>
            <w:r>
              <w:rPr>
                <w:color w:val="000000"/>
                <w:sz w:val="20"/>
                <w:szCs w:val="20"/>
              </w:rPr>
              <w:t xml:space="preserve">380(</w:t>
            </w:r>
            <w:r>
              <w:rPr>
                <w:color w:val="000000"/>
                <w:sz w:val="20"/>
                <w:szCs w:val="20"/>
              </w:rPr>
              <w:t xml:space="preserve">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42"/>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51</w:t>
            </w:r>
            <w:r>
              <w:rPr>
                <w:color w:val="000000"/>
                <w:sz w:val="20"/>
                <w:szCs w:val="20"/>
              </w:rPr>
              <w:t xml:space="preserve">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865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1835</w:t>
            </w:r>
            <w:r>
              <w:rPr>
                <w:color w:val="000000"/>
                <w:sz w:val="20"/>
                <w:szCs w:val="20"/>
              </w:rPr>
              <w:t xml:space="preserve">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56</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51</w:t>
            </w:r>
            <w:r>
              <w:rPr>
                <w:color w:val="000000"/>
                <w:sz w:val="20"/>
                <w:szCs w:val="20"/>
              </w:rPr>
              <w:t xml:space="preserve">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832"/>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42"/>
              <w:rPr>
                <w:color w:val="000000"/>
                <w:sz w:val="18"/>
                <w:szCs w:val="18"/>
              </w:rPr>
            </w:pPr>
            <w:r>
              <w:rPr>
                <w:color w:val="000000"/>
                <w:sz w:val="18"/>
                <w:szCs w:val="18"/>
              </w:rPr>
            </w: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2"/>
              <w:rPr>
                <w:sz w:val="20"/>
                <w:szCs w:val="20"/>
              </w:rPr>
            </w:pPr>
            <w:r>
              <w:rPr>
                <w:sz w:val="20"/>
                <w:szCs w:val="20"/>
              </w:rPr>
              <w:t xml:space="preserve">9.2.</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210 руб. за каждое посещение</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2"/>
              <w:rPr>
                <w:color w:val="000000"/>
                <w:sz w:val="18"/>
                <w:szCs w:val="18"/>
              </w:rPr>
            </w:pPr>
            <w:r>
              <w:rPr>
                <w:color w:val="000000"/>
                <w:sz w:val="18"/>
                <w:szCs w:val="18"/>
              </w:rPr>
              <w:t xml:space="preserve">Комиссия включает  НДС и  уплачивается  в момент  предоставления  услуги  </w:t>
            </w:r>
            <w:r>
              <w:rPr>
                <w:color w:val="000000"/>
                <w:sz w:val="18"/>
                <w:szCs w:val="18"/>
              </w:rPr>
            </w:r>
            <w:r>
              <w:rPr>
                <w:color w:val="000000"/>
                <w:sz w:val="18"/>
                <w:szCs w:val="18"/>
              </w:rPr>
            </w:r>
          </w:p>
        </w:tc>
      </w:tr>
      <w:tr>
        <w:tblPrEx/>
        <w:trPr>
          <w:trHeight w:val="87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2"/>
              <w:rPr>
                <w:sz w:val="20"/>
                <w:szCs w:val="20"/>
              </w:rPr>
            </w:pPr>
            <w:r>
              <w:rPr>
                <w:sz w:val="20"/>
                <w:szCs w:val="20"/>
              </w:rPr>
              <w:t xml:space="preserve">9.3.</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6000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2"/>
              <w:rPr>
                <w:color w:val="000000"/>
                <w:sz w:val="18"/>
                <w:szCs w:val="18"/>
              </w:rPr>
            </w:pPr>
            <w:r>
              <w:rPr>
                <w:color w:val="000000"/>
                <w:sz w:val="18"/>
                <w:szCs w:val="18"/>
              </w:rPr>
              <w:t xml:space="preserve">Комиссия включает  НДС и  уплачивается  в  день  обнаружения</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2"/>
              <w:rPr>
                <w:sz w:val="20"/>
                <w:szCs w:val="20"/>
              </w:rPr>
            </w:pPr>
            <w:r>
              <w:rPr>
                <w:sz w:val="20"/>
                <w:szCs w:val="20"/>
              </w:rPr>
              <w:t xml:space="preserve">9.4.</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500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42"/>
              <w:rPr>
                <w:color w:val="000000"/>
                <w:sz w:val="18"/>
                <w:szCs w:val="18"/>
              </w:rPr>
            </w:pPr>
            <w:r>
              <w:rPr>
                <w:color w:val="000000"/>
                <w:sz w:val="18"/>
                <w:szCs w:val="18"/>
              </w:rPr>
              <w:t xml:space="preserve">Комиссия включает  НДС и  уплачивается  в  день  возврата ключа </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2"/>
              <w:rPr>
                <w:sz w:val="20"/>
                <w:szCs w:val="20"/>
              </w:rPr>
            </w:pPr>
            <w:r>
              <w:rPr>
                <w:sz w:val="20"/>
                <w:szCs w:val="20"/>
              </w:rPr>
              <w:t xml:space="preserve">9.5.</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42"/>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42"/>
              <w:jc w:val="center"/>
              <w:rPr>
                <w:color w:val="000000"/>
                <w:sz w:val="20"/>
                <w:szCs w:val="20"/>
              </w:rPr>
            </w:pPr>
            <w:r>
              <w:rPr>
                <w:color w:val="000000"/>
                <w:sz w:val="20"/>
                <w:szCs w:val="20"/>
              </w:rPr>
              <w:t xml:space="preserve">155 руб. за единицу банковской техники</w:t>
            </w:r>
            <w:r>
              <w:rPr>
                <w:color w:val="000000"/>
                <w:sz w:val="20"/>
                <w:szCs w:val="20"/>
              </w:rPr>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1142"/>
              <w:rPr>
                <w:color w:val="000000"/>
                <w:sz w:val="18"/>
                <w:szCs w:val="18"/>
              </w:rPr>
            </w:pPr>
            <w:r>
              <w:rPr>
                <w:color w:val="000000"/>
                <w:sz w:val="18"/>
                <w:szCs w:val="18"/>
              </w:rPr>
              <w:t xml:space="preserve">Комиссия включает  НДС и  уплачивается  в  день  заключения соответствующего договора</w:t>
            </w:r>
            <w:r>
              <w:rPr>
                <w:color w:val="000000"/>
                <w:sz w:val="18"/>
                <w:szCs w:val="18"/>
              </w:rPr>
            </w:r>
            <w:r>
              <w:rPr>
                <w:color w:val="000000"/>
                <w:sz w:val="18"/>
                <w:szCs w:val="18"/>
              </w:rPr>
            </w:r>
          </w:p>
        </w:tc>
      </w:tr>
    </w:tbl>
    <w:p>
      <w:pPr>
        <w:pStyle w:val="1142"/>
        <w:rPr>
          <w:lang w:eastAsia="en-US"/>
        </w:rPr>
      </w:pPr>
      <w:r>
        <w:rPr>
          <w:lang w:eastAsia="en-US"/>
        </w:rPr>
      </w:r>
      <w:r>
        <w:rPr>
          <w:lang w:eastAsia="en-US"/>
        </w:rPr>
      </w:r>
      <w:r>
        <w:rPr>
          <w:lang w:eastAsia="en-US"/>
        </w:rPr>
      </w:r>
    </w:p>
    <w:p>
      <w:pPr>
        <w:pStyle w:val="1142"/>
        <w:rPr>
          <w:lang w:eastAsia="en-US"/>
        </w:rPr>
      </w:pPr>
      <w:r>
        <w:rPr>
          <w:lang w:eastAsia="en-US"/>
        </w:rPr>
      </w:r>
      <w:r>
        <w:rPr>
          <w:lang w:eastAsia="en-US"/>
        </w:rPr>
      </w:r>
      <w:r>
        <w:rPr>
          <w:lang w:eastAsia="en-US"/>
        </w:rPr>
      </w:r>
    </w:p>
    <w:p>
      <w:pPr>
        <w:pStyle w:val="1146"/>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1142"/>
        <w:rPr>
          <w:lang w:eastAsia="en-US"/>
        </w:rPr>
      </w:pPr>
      <w:r>
        <w:rPr>
          <w:lang w:eastAsia="en-US"/>
        </w:rPr>
      </w: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2"/>
              <w:jc w:val="center"/>
              <w:rPr>
                <w:b/>
                <w:sz w:val="20"/>
                <w:szCs w:val="20"/>
              </w:rPr>
            </w:pPr>
            <w:r>
              <w:rPr>
                <w:b/>
                <w:sz w:val="20"/>
                <w:szCs w:val="20"/>
              </w:rPr>
              <w:t xml:space="preserve">№п/п</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1142"/>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2"/>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1142"/>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2"/>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2"/>
              <w:ind w:left="-51" w:firstLine="51"/>
              <w:spacing w:before="40" w:after="40"/>
              <w:rPr>
                <w:rFonts w:eastAsia="Calibri"/>
                <w:sz w:val="20"/>
                <w:szCs w:val="20"/>
                <w:lang w:eastAsia="en-US"/>
              </w:rPr>
            </w:pPr>
            <w:r>
              <w:rPr>
                <w:rFonts w:eastAsia="Calibri"/>
                <w:sz w:val="20"/>
                <w:szCs w:val="20"/>
                <w:lang w:eastAsia="en-US"/>
              </w:rPr>
              <w:t xml:space="preserve">Инкассация денежной наличности (рубли и иностранная валюта), в том числе внесенной через информационно-платежные терминалы в пределах г.Казань, г.Набережные Челны: </w:t>
            </w:r>
            <w:r>
              <w:rPr>
                <w:rFonts w:eastAsia="Calibri"/>
                <w:sz w:val="20"/>
                <w:szCs w:val="20"/>
                <w:lang w:eastAsia="en-US"/>
              </w:rPr>
            </w:r>
            <w:r>
              <w:rPr>
                <w:rFonts w:eastAsia="Calibri"/>
                <w:sz w:val="20"/>
                <w:szCs w:val="20"/>
                <w:lang w:eastAsia="en-US"/>
              </w:rPr>
            </w:r>
          </w:p>
          <w:p>
            <w:pPr>
              <w:pStyle w:val="1142"/>
              <w:ind w:left="-51" w:firstLine="51"/>
              <w:spacing w:before="40" w:after="40"/>
              <w:rPr>
                <w:rFonts w:eastAsia="Calibri"/>
                <w:sz w:val="20"/>
                <w:szCs w:val="20"/>
                <w:lang w:eastAsia="en-US"/>
              </w:rPr>
            </w:pPr>
            <w:r>
              <w:rPr>
                <w:rFonts w:eastAsia="Calibri"/>
                <w:sz w:val="20"/>
                <w:szCs w:val="20"/>
                <w:lang w:eastAsia="en-US"/>
              </w:rPr>
              <w:t xml:space="preserve">- с доставкой в подразделение банка</w:t>
            </w:r>
            <w:r>
              <w:rPr>
                <w:rStyle w:val="1174"/>
                <w:rFonts w:eastAsia="Calibri"/>
                <w:sz w:val="20"/>
                <w:szCs w:val="20"/>
                <w:lang w:eastAsia="en-US"/>
              </w:rPr>
              <w:footnoteReference w:id="2"/>
            </w:r>
            <w:r>
              <w:rPr>
                <w:rFonts w:eastAsia="Calibri"/>
                <w:sz w:val="20"/>
                <w:szCs w:val="20"/>
                <w:lang w:eastAsia="en-US"/>
              </w:rPr>
              <w:t xml:space="preserve">;</w:t>
            </w:r>
            <w:r>
              <w:rPr>
                <w:rFonts w:eastAsia="Calibri"/>
                <w:sz w:val="20"/>
                <w:szCs w:val="20"/>
                <w:lang w:eastAsia="en-US"/>
              </w:rPr>
            </w:r>
            <w:r>
              <w:rPr>
                <w:rFonts w:eastAsia="Calibri"/>
                <w:sz w:val="20"/>
                <w:szCs w:val="20"/>
                <w:lang w:eastAsia="en-US"/>
              </w:rPr>
            </w:r>
          </w:p>
          <w:p>
            <w:pPr>
              <w:pStyle w:val="1142"/>
              <w:ind w:left="-51" w:firstLine="51"/>
              <w:spacing w:before="40" w:after="40"/>
              <w:rPr>
                <w:rFonts w:eastAsia="Calibri"/>
                <w:sz w:val="20"/>
                <w:szCs w:val="20"/>
                <w:lang w:eastAsia="en-US"/>
              </w:rPr>
            </w:pPr>
            <w:r>
              <w:rPr>
                <w:rFonts w:eastAsia="Calibri"/>
                <w:sz w:val="20"/>
                <w:szCs w:val="20"/>
                <w:lang w:eastAsia="en-US"/>
              </w:rPr>
              <w:t xml:space="preserve">- с доставкой в другую кредитную организацию</w:t>
            </w:r>
            <w:r>
              <w:rPr>
                <w:rFonts w:eastAsia="Calibri"/>
                <w:sz w:val="20"/>
                <w:szCs w:val="20"/>
                <w:lang w:eastAsia="en-US"/>
              </w:rPr>
            </w:r>
            <w:r>
              <w:rPr>
                <w:rFonts w:eastAsia="Calibri"/>
                <w:sz w:val="20"/>
                <w:szCs w:val="20"/>
                <w:lang w:eastAsia="en-US"/>
              </w:rPr>
            </w:r>
          </w:p>
          <w:p>
            <w:pPr>
              <w:pStyle w:val="1142"/>
              <w:ind w:left="176"/>
              <w:spacing w:before="40"/>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2"/>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0,15% от суммы </w:t>
            </w:r>
            <w:r>
              <w:rPr>
                <w:rFonts w:eastAsia="Calibri"/>
                <w:sz w:val="20"/>
                <w:szCs w:val="20"/>
                <w:lang w:eastAsia="en-US"/>
              </w:rPr>
            </w:r>
            <w:r>
              <w:rPr>
                <w:rFonts w:eastAsia="Calibri"/>
                <w:sz w:val="20"/>
                <w:szCs w:val="20"/>
                <w:lang w:eastAsia="en-US"/>
              </w:rPr>
            </w:r>
          </w:p>
          <w:p>
            <w:pPr>
              <w:pStyle w:val="1142"/>
              <w:ind w:left="-51" w:firstLine="51"/>
              <w:jc w:val="center"/>
              <w:rPr>
                <w:rFonts w:eastAsia="Calibri"/>
                <w:sz w:val="20"/>
                <w:szCs w:val="20"/>
                <w:lang w:eastAsia="en-US"/>
              </w:rPr>
            </w:pPr>
            <w:r>
              <w:rPr>
                <w:rFonts w:eastAsia="Calibri"/>
                <w:sz w:val="20"/>
                <w:szCs w:val="20"/>
                <w:lang w:eastAsia="en-US"/>
              </w:rPr>
              <w:t xml:space="preserve">до 600 000,00 </w:t>
            </w:r>
            <w:r>
              <w:rPr>
                <w:rStyle w:val="1174"/>
                <w:rFonts w:eastAsia="Calibri"/>
                <w:sz w:val="20"/>
                <w:szCs w:val="20"/>
                <w:lang w:eastAsia="en-US"/>
              </w:rPr>
              <w:footnoteReference w:id="3"/>
            </w:r>
            <w:r>
              <w:rPr>
                <w:rFonts w:eastAsia="Calibri"/>
                <w:sz w:val="20"/>
                <w:szCs w:val="20"/>
                <w:lang w:eastAsia="en-US"/>
              </w:rPr>
              <w:t xml:space="preserve">руб. (включительно),</w:t>
            </w:r>
            <w:r>
              <w:rPr>
                <w:rFonts w:eastAsia="Calibri"/>
                <w:sz w:val="20"/>
                <w:szCs w:val="20"/>
                <w:lang w:eastAsia="en-US"/>
              </w:rPr>
            </w:r>
            <w:r>
              <w:rPr>
                <w:rFonts w:eastAsia="Calibri"/>
                <w:sz w:val="20"/>
                <w:szCs w:val="20"/>
                <w:lang w:eastAsia="en-US"/>
              </w:rPr>
            </w:r>
          </w:p>
          <w:p>
            <w:pPr>
              <w:pStyle w:val="1142"/>
              <w:ind w:left="-51" w:firstLine="51"/>
              <w:jc w:val="center"/>
              <w:spacing w:after="120"/>
              <w:rPr>
                <w:rFonts w:eastAsia="Calibri"/>
                <w:sz w:val="20"/>
                <w:szCs w:val="20"/>
                <w:lang w:eastAsia="en-US"/>
              </w:rPr>
            </w:pPr>
            <w:r>
              <w:rPr>
                <w:rFonts w:eastAsia="Calibri"/>
                <w:sz w:val="20"/>
                <w:szCs w:val="20"/>
                <w:lang w:eastAsia="en-US"/>
              </w:rPr>
              <w:t xml:space="preserve">минимум 3</w:t>
            </w:r>
            <w:r>
              <w:rPr>
                <w:rFonts w:eastAsia="Calibri"/>
                <w:sz w:val="20"/>
                <w:szCs w:val="20"/>
                <w:lang w:eastAsia="en-US"/>
              </w:rPr>
              <w:t xml:space="preserve">6</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p>
            <w:pPr>
              <w:pStyle w:val="1142"/>
              <w:ind w:left="-51" w:firstLine="51"/>
              <w:jc w:val="center"/>
              <w:spacing w:after="12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0,10% от суммы с 600 000,01</w:t>
            </w:r>
            <w:r>
              <w:rPr>
                <w:rFonts w:eastAsia="Calibri"/>
                <w:sz w:val="20"/>
                <w:szCs w:val="20"/>
                <w:vertAlign w:val="superscript"/>
                <w:lang w:eastAsia="en-US"/>
              </w:rPr>
              <w:t xml:space="preserve">†</w:t>
            </w:r>
            <w:r>
              <w:rPr>
                <w:rFonts w:eastAsia="Calibri"/>
                <w:sz w:val="20"/>
                <w:szCs w:val="20"/>
                <w:lang w:eastAsia="en-US"/>
              </w:rPr>
              <w:t xml:space="preserve"> руб. до 5 000 000,00</w:t>
            </w:r>
            <w:r>
              <w:rPr>
                <w:rFonts w:eastAsia="Calibri"/>
                <w:sz w:val="20"/>
                <w:szCs w:val="20"/>
                <w:vertAlign w:val="superscript"/>
                <w:lang w:eastAsia="en-US"/>
              </w:rPr>
              <w:t xml:space="preserve">*</w:t>
            </w:r>
            <w:r>
              <w:rPr>
                <w:rFonts w:eastAsia="Calibri"/>
                <w:sz w:val="20"/>
                <w:szCs w:val="20"/>
                <w:lang w:eastAsia="en-US"/>
              </w:rPr>
              <w:t xml:space="preserve"> руб. (включительно); </w:t>
            </w:r>
            <w:r>
              <w:rPr>
                <w:rFonts w:eastAsia="Calibri"/>
                <w:sz w:val="20"/>
                <w:szCs w:val="20"/>
                <w:lang w:eastAsia="en-US"/>
              </w:rPr>
            </w:r>
            <w:r>
              <w:rPr>
                <w:rFonts w:eastAsia="Calibri"/>
                <w:sz w:val="20"/>
                <w:szCs w:val="20"/>
                <w:lang w:eastAsia="en-US"/>
              </w:rPr>
            </w:r>
          </w:p>
          <w:p>
            <w:pPr>
              <w:pStyle w:val="1142"/>
              <w:ind w:left="-51" w:firstLine="51"/>
              <w:jc w:val="center"/>
              <w:spacing w:before="40"/>
              <w:rPr>
                <w:rFonts w:eastAsia="Calibri"/>
                <w:sz w:val="20"/>
                <w:szCs w:val="20"/>
                <w:lang w:eastAsia="en-US"/>
              </w:rPr>
            </w:pPr>
            <w:r>
              <w:rPr>
                <w:rFonts w:eastAsia="Calibri"/>
                <w:sz w:val="20"/>
                <w:szCs w:val="20"/>
                <w:lang w:eastAsia="en-US"/>
              </w:rPr>
              <w:t xml:space="preserve">не менее </w:t>
            </w:r>
            <w:r>
              <w:rPr>
                <w:rFonts w:eastAsia="Calibri"/>
                <w:sz w:val="20"/>
                <w:szCs w:val="20"/>
                <w:lang w:eastAsia="en-US"/>
              </w:rPr>
              <w:t xml:space="preserve">0,05% </w:t>
              <w:br w:type="textWrapping" w:clear="all"/>
              <w:t xml:space="preserve">от суммы с 5 000 000,01</w:t>
            </w:r>
            <w:r>
              <w:rPr>
                <w:rFonts w:eastAsia="Calibri"/>
                <w:sz w:val="20"/>
                <w:szCs w:val="20"/>
                <w:vertAlign w:val="superscript"/>
                <w:lang w:eastAsia="en-US"/>
              </w:rPr>
              <w:t xml:space="preserve">†</w:t>
            </w:r>
            <w:r>
              <w:rPr>
                <w:rFonts w:eastAsia="Calibri"/>
                <w:sz w:val="20"/>
                <w:szCs w:val="20"/>
                <w:lang w:eastAsia="en-US"/>
              </w:rPr>
              <w:t xml:space="preserve"> руб. и выше</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2"/>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42"/>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42"/>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2"/>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2"/>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2"/>
              <w:ind w:left="-51" w:firstLine="51"/>
              <w:jc w:val="center"/>
              <w:spacing w:before="40"/>
              <w:rPr>
                <w:rFonts w:eastAsia="Calibri"/>
                <w:sz w:val="20"/>
                <w:szCs w:val="20"/>
                <w:lang w:eastAsia="en-US"/>
              </w:rPr>
            </w:pPr>
            <w:r>
              <w:rPr>
                <w:rFonts w:eastAsia="Calibri"/>
                <w:sz w:val="20"/>
                <w:szCs w:val="20"/>
                <w:lang w:eastAsia="en-US"/>
              </w:rPr>
              <w:t xml:space="preserve">Не менее 0,2% от суммы,</w:t>
            </w:r>
            <w:r>
              <w:rPr>
                <w:rFonts w:eastAsia="Calibri"/>
                <w:sz w:val="20"/>
                <w:szCs w:val="20"/>
                <w:lang w:eastAsia="en-US"/>
              </w:rPr>
            </w:r>
            <w:r>
              <w:rPr>
                <w:rFonts w:eastAsia="Calibri"/>
                <w:sz w:val="20"/>
                <w:szCs w:val="20"/>
                <w:lang w:eastAsia="en-US"/>
              </w:rPr>
            </w:r>
          </w:p>
          <w:p>
            <w:pPr>
              <w:pStyle w:val="1142"/>
              <w:ind w:left="-51" w:firstLine="51"/>
              <w:jc w:val="center"/>
              <w:spacing w:before="40"/>
              <w:rPr>
                <w:rFonts w:eastAsia="Calibri"/>
                <w:sz w:val="20"/>
                <w:szCs w:val="20"/>
                <w:lang w:eastAsia="en-US"/>
              </w:rPr>
            </w:pPr>
            <w:r>
              <w:rPr>
                <w:rFonts w:eastAsia="Calibri"/>
                <w:sz w:val="20"/>
                <w:szCs w:val="20"/>
                <w:lang w:eastAsia="en-US"/>
              </w:rPr>
              <w:t xml:space="preserve">минимум </w:t>
            </w:r>
            <w:r>
              <w:rPr>
                <w:rFonts w:eastAsia="Calibri"/>
                <w:sz w:val="20"/>
                <w:szCs w:val="20"/>
                <w:lang w:eastAsia="en-US"/>
              </w:rPr>
            </w:r>
            <w:r>
              <w:rPr>
                <w:rFonts w:eastAsia="Calibri"/>
                <w:sz w:val="20"/>
                <w:szCs w:val="20"/>
                <w:lang w:eastAsia="en-US"/>
              </w:rPr>
            </w:r>
          </w:p>
          <w:p>
            <w:pPr>
              <w:pStyle w:val="1142"/>
              <w:ind w:left="-51" w:firstLine="51"/>
              <w:jc w:val="center"/>
              <w:spacing w:before="40" w:after="40"/>
              <w:rPr>
                <w:sz w:val="20"/>
                <w:szCs w:val="20"/>
              </w:rPr>
            </w:pPr>
            <w:r>
              <w:rPr>
                <w:rFonts w:eastAsia="Calibri"/>
                <w:sz w:val="20"/>
                <w:szCs w:val="20"/>
                <w:lang w:eastAsia="en-US"/>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2"/>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2"/>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2"/>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2"/>
              <w:ind w:left="-51" w:firstLine="51"/>
              <w:jc w:val="center"/>
              <w:spacing w:before="40" w:after="40"/>
              <w:rPr>
                <w:sz w:val="20"/>
                <w:szCs w:val="20"/>
              </w:rPr>
            </w:pPr>
            <w:r>
              <w:rPr>
                <w:sz w:val="20"/>
                <w:szCs w:val="20"/>
              </w:rPr>
              <w:t xml:space="preserve">1300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2"/>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42"/>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42"/>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42"/>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42"/>
              <w:ind w:left="-51" w:firstLine="51"/>
              <w:jc w:val="center"/>
              <w:spacing w:before="40" w:after="40"/>
              <w:rPr>
                <w:sz w:val="20"/>
                <w:szCs w:val="20"/>
              </w:rPr>
            </w:pPr>
            <w:r>
              <w:rPr>
                <w:sz w:val="20"/>
                <w:szCs w:val="20"/>
              </w:rPr>
              <w:t xml:space="preserve">1300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42"/>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42"/>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42"/>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r>
        <w:rPr>
          <w:bCs/>
          <w:i/>
          <w:sz w:val="20"/>
          <w:szCs w:val="20"/>
        </w:rPr>
      </w:r>
    </w:p>
    <w:p>
      <w:pPr>
        <w:pStyle w:val="1142"/>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42"/>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1142"/>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42"/>
        <w:tabs>
          <w:tab w:val="left" w:pos="2985" w:leader="none"/>
        </w:tabs>
        <w:rPr>
          <w:sz w:val="20"/>
          <w:szCs w:val="20"/>
        </w:rPr>
      </w:pPr>
      <w:r>
        <w:rPr>
          <w:sz w:val="20"/>
          <w:szCs w:val="20"/>
        </w:rPr>
      </w:r>
      <w:r>
        <w:rPr>
          <w:sz w:val="20"/>
          <w:szCs w:val="20"/>
        </w:rPr>
      </w:r>
      <w:r>
        <w:rPr>
          <w:sz w:val="20"/>
          <w:szCs w:val="20"/>
        </w:rPr>
      </w:r>
    </w:p>
    <w:p>
      <w:pPr>
        <w:pStyle w:val="1146"/>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1142"/>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42"/>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r>
              <w:rPr>
                <w:b/>
                <w:sz w:val="20"/>
                <w:szCs w:val="20"/>
              </w:rPr>
            </w:r>
          </w:p>
        </w:tc>
        <w:tc>
          <w:tcPr>
            <w:tcW w:w="3827" w:type="dxa"/>
            <w:vAlign w:val="top"/>
            <w:vMerge w:val="restart"/>
            <w:textDirection w:val="lrTb"/>
            <w:noWrap w:val="false"/>
          </w:tcPr>
          <w:p>
            <w:pPr>
              <w:pStyle w:val="114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42"/>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260" w:type="dxa"/>
            <w:vAlign w:val="top"/>
            <w:textDirection w:val="lrTb"/>
            <w:noWrap w:val="false"/>
          </w:tcPr>
          <w:p>
            <w:pPr>
              <w:pStyle w:val="1142"/>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42"/>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42"/>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42"/>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42"/>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r>
              <w:rPr>
                <w:b/>
                <w:sz w:val="20"/>
                <w:szCs w:val="20"/>
              </w:rPr>
            </w:r>
          </w:p>
        </w:tc>
        <w:tc>
          <w:tcPr>
            <w:tcW w:w="1559" w:type="dxa"/>
            <w:vAlign w:val="top"/>
            <w:textDirection w:val="lrTb"/>
            <w:noWrap w:val="false"/>
          </w:tcPr>
          <w:p>
            <w:pPr>
              <w:pStyle w:val="1142"/>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2"/>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4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2"/>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42"/>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1142"/>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2"/>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4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2"/>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42"/>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42"/>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42"/>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4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42"/>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42"/>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r>
        <w:rPr>
          <w:i/>
          <w:sz w:val="20"/>
          <w:szCs w:val="20"/>
        </w:rPr>
      </w:r>
    </w:p>
    <w:p>
      <w:pPr>
        <w:pStyle w:val="1142"/>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r>
        <w:rPr>
          <w:i/>
          <w:sz w:val="20"/>
          <w:szCs w:val="20"/>
        </w:rPr>
      </w:r>
    </w:p>
    <w:p>
      <w:pPr>
        <w:pStyle w:val="1142"/>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1142"/>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1143"/>
        <w:jc w:val="center"/>
        <w:rPr>
          <w:rFonts w:ascii="Times New Roman" w:hAnsi="Times New Roman" w:cs="Times New Roman"/>
          <w:sz w:val="22"/>
          <w:szCs w:val="22"/>
        </w:rPr>
      </w:pPr>
      <w:r/>
      <w:bookmarkStart w:id="81" w:name="_Toc314217418"/>
      <w:r>
        <w:rPr>
          <w:rFonts w:ascii="Times New Roman" w:hAnsi="Times New Roman" w:cs="Times New Roman"/>
          <w:sz w:val="22"/>
          <w:szCs w:val="22"/>
        </w:rPr>
        <w:t xml:space="preserve">12. Кредитные операции</w:t>
      </w:r>
      <w:bookmarkEnd w:id="81"/>
      <w:r>
        <w:rPr>
          <w:rFonts w:ascii="Times New Roman" w:hAnsi="Times New Roman" w:cs="Times New Roman"/>
          <w:sz w:val="22"/>
          <w:szCs w:val="22"/>
        </w:rPr>
      </w:r>
      <w:r>
        <w:rPr>
          <w:rFonts w:ascii="Times New Roman" w:hAnsi="Times New Roman" w:cs="Times New Roman"/>
          <w:sz w:val="22"/>
          <w:szCs w:val="22"/>
        </w:rPr>
      </w:r>
    </w:p>
    <w:p>
      <w:pPr>
        <w:pStyle w:val="1142"/>
        <w:rPr>
          <w:lang w:val="en-US" w:eastAsia="en-US"/>
        </w:rPr>
      </w:pPr>
      <w:r>
        <w:rPr>
          <w:lang w:val="en-US" w:eastAsia="en-US"/>
        </w:rPr>
      </w: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082"/>
        <w:gridCol w:w="198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2"/>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082" w:type="dxa"/>
            <w:vAlign w:val="center"/>
            <w:textDirection w:val="lrTb"/>
            <w:noWrap w:val="false"/>
          </w:tcPr>
          <w:p>
            <w:pPr>
              <w:pStyle w:val="1142"/>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4" w:type="dxa"/>
            <w:vAlign w:val="center"/>
            <w:textDirection w:val="lrTb"/>
            <w:noWrap w:val="false"/>
          </w:tcPr>
          <w:p>
            <w:pPr>
              <w:pStyle w:val="1142"/>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2"/>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2"/>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42"/>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w:t>
            </w:r>
            <w:r>
              <w:rPr>
                <w:bCs/>
                <w:sz w:val="20"/>
                <w:szCs w:val="20"/>
              </w:rPr>
              <w:t xml:space="preserve"> </w:t>
            </w:r>
            <w:r>
              <w:rPr>
                <w:bCs/>
                <w:sz w:val="20"/>
                <w:szCs w:val="20"/>
              </w:rPr>
              <w:t xml:space="preserve">«Оборотный-стандарт Рефинанс»</w:t>
            </w:r>
            <w:r>
              <w:rPr>
                <w:bCs/>
                <w:sz w:val="20"/>
                <w:szCs w:val="20"/>
              </w:rPr>
              <w:t xml:space="preserve">.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 </w:t>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2"/>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p>
            <w:pPr>
              <w:pStyle w:val="1142"/>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bCs/>
                <w:sz w:val="20"/>
                <w:szCs w:val="20"/>
              </w:rPr>
              <w:t xml:space="preserve"> </w:t>
            </w:r>
            <w:r>
              <w:rPr>
                <w:bCs/>
                <w:sz w:val="20"/>
                <w:szCs w:val="20"/>
              </w:rPr>
              <w:t xml:space="preserve">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2"/>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74"/>
                <w:sz w:val="20"/>
                <w:szCs w:val="20"/>
              </w:rPr>
              <w:footnoteReference w:id="4"/>
            </w:r>
            <w:r>
              <w:rPr>
                <w:sz w:val="20"/>
                <w:szCs w:val="20"/>
              </w:rPr>
              <w:t xml:space="preserve"> со дня, следующего за: </w:t>
            </w:r>
            <w:r>
              <w:rPr>
                <w:sz w:val="20"/>
                <w:szCs w:val="20"/>
              </w:rPr>
            </w:r>
            <w:r>
              <w:rPr>
                <w:sz w:val="20"/>
                <w:szCs w:val="20"/>
              </w:rPr>
            </w:r>
          </w:p>
          <w:p>
            <w:pPr>
              <w:pStyle w:val="1142"/>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42"/>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42"/>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42"/>
              <w:numPr>
                <w:ilvl w:val="0"/>
                <w:numId w:val="8"/>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42"/>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90"/>
              <w:numPr>
                <w:ilvl w:val="0"/>
                <w:numId w:val="8"/>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42"/>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42"/>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74"/>
                <w:sz w:val="20"/>
                <w:szCs w:val="20"/>
              </w:rPr>
              <w:footnoteReference w:id="5"/>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rPr>
                <w:sz w:val="20"/>
                <w:szCs w:val="20"/>
              </w:rPr>
            </w:pPr>
            <w:r>
              <w:rPr>
                <w:sz w:val="20"/>
                <w:szCs w:val="20"/>
              </w:rPr>
              <w:t xml:space="preserve">При изменении:</w:t>
            </w:r>
            <w:r>
              <w:rPr>
                <w:sz w:val="20"/>
                <w:szCs w:val="20"/>
              </w:rPr>
            </w:r>
            <w:r>
              <w:rPr>
                <w:sz w:val="20"/>
                <w:szCs w:val="20"/>
              </w:rPr>
            </w:r>
          </w:p>
          <w:p>
            <w:pPr>
              <w:pStyle w:val="1142"/>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42"/>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42"/>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42"/>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42"/>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42"/>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42"/>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42"/>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42"/>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142"/>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42"/>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142"/>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42"/>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142"/>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42"/>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42"/>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42"/>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2"/>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42"/>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42"/>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42"/>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42"/>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42"/>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142"/>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42"/>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4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42"/>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142"/>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6"/>
            </w:r>
            <w:r>
              <w:rPr>
                <w:sz w:val="20"/>
                <w:szCs w:val="20"/>
                <w:vertAlign w:val="superscript"/>
              </w:rPr>
              <w:t xml:space="preserve">,</w:t>
            </w:r>
            <w:r>
              <w:rPr>
                <w:sz w:val="20"/>
                <w:szCs w:val="20"/>
                <w:vertAlign w:val="superscript"/>
              </w:rPr>
              <w:footnoteReference w:id="7"/>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2"/>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42"/>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42"/>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42"/>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42"/>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p>
            <w:pPr>
              <w:pStyle w:val="1142"/>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42"/>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w:t>
            </w:r>
            <w:r>
              <w:rPr>
                <w:bCs/>
                <w:sz w:val="20"/>
                <w:szCs w:val="20"/>
              </w:rPr>
              <w:t xml:space="preserve">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более 1,5% </w:t>
            </w:r>
            <w:r>
              <w:rPr>
                <w:sz w:val="20"/>
                <w:szCs w:val="20"/>
              </w:rPr>
            </w:r>
            <w:r>
              <w:rPr>
                <w:sz w:val="20"/>
                <w:szCs w:val="20"/>
              </w:rPr>
            </w:r>
          </w:p>
          <w:p>
            <w:pPr>
              <w:pStyle w:val="1142"/>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в рамках Правил предоставления субсидий из федерального бюджета кредитным </w:t>
            </w:r>
            <w:r>
              <w:rPr>
                <w:bCs/>
                <w:sz w:val="20"/>
                <w:szCs w:val="20"/>
              </w:rPr>
              <w:t xml:space="preserve">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rPr>
                <w:sz w:val="20"/>
                <w:szCs w:val="20"/>
              </w:rPr>
            </w:pPr>
            <w:r>
              <w:rPr>
                <w:sz w:val="20"/>
                <w:szCs w:val="20"/>
              </w:rPr>
              <w:t xml:space="preserve">Не более 1,5% </w:t>
            </w:r>
            <w:r>
              <w:rPr>
                <w:sz w:val="20"/>
                <w:szCs w:val="20"/>
              </w:rPr>
            </w:r>
            <w:r>
              <w:rPr>
                <w:sz w:val="20"/>
                <w:szCs w:val="20"/>
              </w:rPr>
            </w:r>
          </w:p>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sz w:val="20"/>
                <w:szCs w:val="20"/>
              </w:rPr>
            </w:pPr>
            <w:r>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w:t>
            </w:r>
            <w:r>
              <w:rPr>
                <w:bCs/>
                <w:sz w:val="20"/>
                <w:szCs w:val="20"/>
              </w:rPr>
              <w:t xml:space="preserve">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t xml:space="preserve">Не более 1,5% </w:t>
            </w:r>
            <w:r>
              <w:rPr>
                <w:sz w:val="20"/>
                <w:szCs w:val="20"/>
              </w:rPr>
            </w:r>
            <w:r>
              <w:rPr>
                <w:sz w:val="20"/>
                <w:szCs w:val="20"/>
              </w:rPr>
            </w:r>
          </w:p>
          <w:p>
            <w:pPr>
              <w:pStyle w:val="1142"/>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2"/>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42"/>
              <w:ind w:left="74"/>
              <w:jc w:val="center"/>
              <w:spacing w:before="40"/>
              <w:rPr>
                <w:sz w:val="20"/>
                <w:szCs w:val="20"/>
              </w:rPr>
            </w:pPr>
            <w:r>
              <w:rPr>
                <w:sz w:val="20"/>
                <w:szCs w:val="20"/>
              </w:rPr>
              <w:t xml:space="preserve">Не взимается</w:t>
            </w:r>
            <w:r>
              <w:rPr>
                <w:sz w:val="20"/>
                <w:szCs w:val="20"/>
              </w:rPr>
            </w:r>
            <w:r>
              <w:rPr>
                <w:sz w:val="20"/>
                <w:szCs w:val="20"/>
              </w:rPr>
            </w:r>
          </w:p>
          <w:p>
            <w:pPr>
              <w:pStyle w:val="1142"/>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42"/>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jc w:val="center"/>
              <w:spacing w:before="40" w:after="40"/>
              <w:rPr>
                <w:sz w:val="20"/>
                <w:szCs w:val="20"/>
              </w:rPr>
            </w:pPr>
            <w:r>
              <w:rPr>
                <w:sz w:val="20"/>
                <w:szCs w:val="20"/>
              </w:rPr>
              <w:t xml:space="preserve">0,2% от суммы, </w:t>
            </w:r>
            <w:r>
              <w:rPr>
                <w:sz w:val="20"/>
                <w:szCs w:val="20"/>
              </w:rPr>
            </w:r>
            <w:r>
              <w:rPr>
                <w:sz w:val="20"/>
                <w:szCs w:val="20"/>
              </w:rPr>
            </w:r>
          </w:p>
          <w:p>
            <w:pPr>
              <w:pStyle w:val="1142"/>
              <w:jc w:val="center"/>
              <w:spacing w:before="40" w:after="40"/>
              <w:rPr>
                <w:sz w:val="20"/>
                <w:szCs w:val="20"/>
              </w:rPr>
            </w:pPr>
            <w:r>
              <w:rPr>
                <w:sz w:val="20"/>
                <w:szCs w:val="20"/>
              </w:rPr>
              <w:t xml:space="preserve">минимум - 30 000 руб.,</w:t>
            </w:r>
            <w:r>
              <w:rPr>
                <w:sz w:val="20"/>
                <w:szCs w:val="20"/>
              </w:rPr>
            </w:r>
            <w:r>
              <w:rPr>
                <w:sz w:val="20"/>
                <w:szCs w:val="20"/>
              </w:rPr>
            </w:r>
          </w:p>
          <w:p>
            <w:pPr>
              <w:pStyle w:val="1142"/>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42"/>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42"/>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42"/>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42"/>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42"/>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082" w:type="dxa"/>
            <w:vAlign w:val="top"/>
            <w:textDirection w:val="lrTb"/>
            <w:noWrap w:val="false"/>
          </w:tcPr>
          <w:p>
            <w:pPr>
              <w:pStyle w:val="1142"/>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42"/>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4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2"/>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4082" w:type="dxa"/>
            <w:vAlign w:val="top"/>
            <w:textDirection w:val="lrTb"/>
            <w:noWrap w:val="false"/>
          </w:tcPr>
          <w:p>
            <w:pPr>
              <w:pStyle w:val="1142"/>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4" w:type="dxa"/>
            <w:vAlign w:val="top"/>
            <w:textDirection w:val="lrTb"/>
            <w:noWrap w:val="false"/>
          </w:tcPr>
          <w:p>
            <w:pPr>
              <w:pStyle w:val="1142"/>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42"/>
              <w:jc w:val="both"/>
              <w:spacing w:before="40"/>
              <w:rPr>
                <w:sz w:val="20"/>
                <w:szCs w:val="20"/>
              </w:rPr>
            </w:pPr>
            <w:r>
              <w:rPr>
                <w:sz w:val="20"/>
                <w:szCs w:val="20"/>
              </w:rPr>
            </w:r>
            <w:r>
              <w:rPr>
                <w:sz w:val="20"/>
                <w:szCs w:val="20"/>
              </w:rPr>
            </w:r>
            <w:r>
              <w:rPr>
                <w:sz w:val="20"/>
                <w:szCs w:val="20"/>
              </w:rPr>
            </w:r>
          </w:p>
        </w:tc>
      </w:tr>
    </w:tbl>
    <w:p>
      <w:pPr>
        <w:pStyle w:val="1142"/>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42"/>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42"/>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42"/>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42"/>
        <w:jc w:val="both"/>
        <w:tabs>
          <w:tab w:val="left" w:pos="284" w:leader="none"/>
          <w:tab w:val="left" w:pos="1134" w:leader="none"/>
        </w:tabs>
        <w:rPr>
          <w:sz w:val="20"/>
          <w:szCs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szCs w:val="20"/>
        </w:rPr>
      </w:r>
      <w:r>
        <w:rPr>
          <w:sz w:val="20"/>
          <w:szCs w:val="20"/>
        </w:rPr>
      </w:r>
    </w:p>
    <w:p>
      <w:pPr>
        <w:pStyle w:val="1142"/>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142"/>
        <w:jc w:val="both"/>
        <w:spacing w:before="40"/>
        <w:outlineLvl w:val="5"/>
      </w:pPr>
      <w:r>
        <w:rPr>
          <w:bCs/>
          <w:iCs/>
          <w:sz w:val="20"/>
          <w:szCs w:val="20"/>
        </w:rPr>
        <w:t xml:space="preserve">- при кредитовании в рамках решения Министерства сельского хозяйства </w:t>
      </w:r>
      <w:r>
        <w:rPr>
          <w:bCs/>
          <w:iCs/>
          <w:sz w:val="20"/>
          <w:szCs w:val="20"/>
        </w:rPr>
        <w:t xml:space="preserve">Российской Федерации о порядке предоставления субсидии </w:t>
      </w:r>
      <w:r>
        <w:rPr>
          <w:bCs/>
          <w:iCs/>
          <w:sz w:val="20"/>
          <w:szCs w:val="20"/>
        </w:rPr>
        <w:t xml:space="preserve">№</w:t>
      </w:r>
      <w:r>
        <w:rPr>
          <w:bCs/>
          <w:iCs/>
          <w:sz w:val="20"/>
          <w:szCs w:val="20"/>
        </w:rPr>
        <w:t xml:space="preserve"> 25-66428-01969-Р</w:t>
      </w:r>
      <w:r>
        <w:t xml:space="preserve"> </w:t>
      </w:r>
      <w:r>
        <w:rPr>
          <w:bCs/>
          <w:iCs/>
          <w:sz w:val="20"/>
          <w:szCs w:val="20"/>
        </w:rPr>
        <w:t xml:space="preserve">«Возмещение недополученных российскими кредитными организациями, международными</w:t>
      </w:r>
      <w:r>
        <w:t xml:space="preserve"> </w:t>
      </w:r>
      <w:r>
        <w:rPr>
          <w:bCs/>
          <w:iCs/>
          <w:sz w:val="20"/>
          <w:szCs w:val="20"/>
        </w:rPr>
        <w:t xml:space="preserve">финансовыми организациями и государственной корпорацией развития «ВЭБ.РФ» доходов</w:t>
      </w:r>
      <w:r>
        <w:t xml:space="preserve"> </w:t>
      </w:r>
      <w:r>
        <w:rPr>
          <w:bCs/>
          <w:iCs/>
          <w:sz w:val="20"/>
          <w:szCs w:val="20"/>
        </w:rPr>
        <w:t xml:space="preserve">по кредитам, выданным сельскохозяйственным товаропроизводителям (за исключением</w:t>
      </w:r>
      <w:r>
        <w:t xml:space="preserve"> </w:t>
      </w:r>
      <w:r>
        <w:rPr>
          <w:bCs/>
          <w:iCs/>
          <w:sz w:val="20"/>
          <w:szCs w:val="20"/>
        </w:rPr>
        <w:t xml:space="preserve">сельскохозяйственных кредитных потребительских кооперативов), организациям и</w:t>
      </w:r>
      <w:r>
        <w:t xml:space="preserve"> </w:t>
      </w:r>
      <w:r>
        <w:rPr>
          <w:bCs/>
          <w:iCs/>
          <w:sz w:val="20"/>
          <w:szCs w:val="20"/>
        </w:rPr>
        <w:t xml:space="preserve">индивидуальным предпринимателям, осуществляющим производство, первичную и (или)</w:t>
      </w:r>
      <w:r>
        <w:t xml:space="preserve"> </w:t>
      </w:r>
      <w:r>
        <w:rPr>
          <w:bCs/>
          <w:iCs/>
          <w:sz w:val="20"/>
          <w:szCs w:val="20"/>
        </w:rPr>
        <w:t xml:space="preserve">последующую (промышленную) переработку сельскохозяйственной продукции и ее</w:t>
      </w:r>
      <w:r>
        <w:t xml:space="preserve"> </w:t>
      </w:r>
      <w:r>
        <w:rPr>
          <w:bCs/>
          <w:iCs/>
          <w:sz w:val="20"/>
          <w:szCs w:val="20"/>
        </w:rPr>
        <w:t xml:space="preserve">реализацию, по льготной ставке» (далее – Решение </w:t>
      </w:r>
      <w:r>
        <w:rPr>
          <w:bCs/>
          <w:iCs/>
          <w:sz w:val="20"/>
          <w:szCs w:val="20"/>
        </w:rPr>
        <w:t xml:space="preserve">№</w:t>
      </w:r>
      <w:r>
        <w:rPr>
          <w:bCs/>
          <w:iCs/>
          <w:sz w:val="20"/>
          <w:szCs w:val="20"/>
        </w:rPr>
        <w:t xml:space="preserve">  1969-Р), принятого в соответствии с</w:t>
      </w:r>
      <w:r>
        <w:t xml:space="preserve"> </w:t>
      </w:r>
      <w:r>
        <w:rPr>
          <w:bCs/>
          <w:iCs/>
          <w:sz w:val="20"/>
          <w:szCs w:val="20"/>
        </w:rPr>
        <w:t xml:space="preserve">ППРФ от 25.10.2023 </w:t>
      </w:r>
      <w:r>
        <w:rPr>
          <w:bCs/>
          <w:iCs/>
          <w:sz w:val="20"/>
          <w:szCs w:val="20"/>
        </w:rPr>
        <w:t xml:space="preserve">№</w:t>
      </w:r>
      <w:r>
        <w:rPr>
          <w:bCs/>
          <w:iCs/>
          <w:sz w:val="20"/>
          <w:szCs w:val="20"/>
        </w:rPr>
        <w:t xml:space="preserve"> 1780;</w:t>
      </w:r>
      <w:r>
        <w:rPr>
          <w:bCs/>
          <w:iCs/>
          <w:sz w:val="20"/>
          <w:szCs w:val="20"/>
        </w:rPr>
      </w:r>
      <w:r/>
    </w:p>
    <w:p>
      <w:pPr>
        <w:pStyle w:val="1142"/>
        <w:jc w:val="both"/>
        <w:spacing w:before="40"/>
        <w:outlineLvl w:val="5"/>
      </w:pPr>
      <w:r>
        <w:rPr>
          <w:bCs/>
          <w:iCs/>
          <w:sz w:val="20"/>
          <w:szCs w:val="20"/>
        </w:rPr>
        <w:t xml:space="preserve">- при кредитовании в рамках решения Министерства сельского хозяйства Российской </w:t>
      </w:r>
      <w:r>
        <w:rPr>
          <w:bCs/>
          <w:iCs/>
          <w:sz w:val="20"/>
          <w:szCs w:val="20"/>
        </w:rPr>
        <w:t xml:space="preserve">Федерации о порядке  предоставления субсидии </w:t>
      </w:r>
      <w:r>
        <w:rPr>
          <w:bCs/>
          <w:iCs/>
          <w:sz w:val="20"/>
          <w:szCs w:val="20"/>
        </w:rPr>
        <w:t xml:space="preserve">№</w:t>
      </w:r>
      <w:r>
        <w:rPr>
          <w:bCs/>
          <w:iCs/>
          <w:sz w:val="20"/>
          <w:szCs w:val="20"/>
        </w:rPr>
        <w:t xml:space="preserve"> 25-68850-01698-Р «Возмещение</w:t>
      </w:r>
      <w:r>
        <w:t xml:space="preserve"> </w:t>
      </w:r>
      <w:r>
        <w:rPr>
          <w:bCs/>
          <w:iCs/>
          <w:sz w:val="20"/>
          <w:szCs w:val="20"/>
        </w:rPr>
        <w:t xml:space="preserve">недополученных российскими кредитными организациями, международными финансовыми</w:t>
      </w:r>
      <w:r>
        <w:t xml:space="preserve"> </w:t>
      </w:r>
      <w:r>
        <w:rPr>
          <w:bCs/>
          <w:iCs/>
          <w:sz w:val="20"/>
          <w:szCs w:val="20"/>
        </w:rPr>
        <w:t xml:space="preserve">организациями и государственной корпорацией развития «ВЭБ.РФ» доходов по кредитам,</w:t>
      </w:r>
      <w:r>
        <w:t xml:space="preserve"> </w:t>
      </w:r>
      <w:r>
        <w:rPr>
          <w:bCs/>
          <w:iCs/>
          <w:sz w:val="20"/>
          <w:szCs w:val="20"/>
        </w:rPr>
        <w:t xml:space="preserve">выданным</w:t>
      </w:r>
      <w:r>
        <w:t xml:space="preserve"> </w:t>
      </w:r>
      <w:r>
        <w:rPr>
          <w:bCs/>
          <w:iCs/>
          <w:sz w:val="20"/>
          <w:szCs w:val="20"/>
        </w:rPr>
        <w:t xml:space="preserve"> сельскохозяйственным</w:t>
      </w:r>
      <w:r>
        <w:t xml:space="preserve"> </w:t>
      </w:r>
      <w:r>
        <w:rPr>
          <w:bCs/>
          <w:iCs/>
          <w:sz w:val="20"/>
          <w:szCs w:val="20"/>
        </w:rPr>
        <w:t xml:space="preserve"> товаропроизводителям</w:t>
      </w:r>
      <w:r>
        <w:t xml:space="preserve"> </w:t>
      </w:r>
      <w:r>
        <w:rPr>
          <w:bCs/>
          <w:iCs/>
          <w:sz w:val="20"/>
          <w:szCs w:val="20"/>
        </w:rPr>
        <w:t xml:space="preserve"> (за</w:t>
      </w:r>
      <w:r>
        <w:t xml:space="preserve"> </w:t>
      </w:r>
      <w:r>
        <w:rPr>
          <w:bCs/>
          <w:iCs/>
          <w:sz w:val="20"/>
          <w:szCs w:val="20"/>
        </w:rPr>
        <w:t xml:space="preserve"> исключением</w:t>
      </w:r>
      <w:r>
        <w:rPr>
          <w:bCs/>
          <w:iCs/>
          <w:sz w:val="20"/>
          <w:szCs w:val="20"/>
        </w:rPr>
      </w:r>
      <w:r/>
    </w:p>
    <w:p>
      <w:pPr>
        <w:pStyle w:val="1142"/>
        <w:jc w:val="both"/>
        <w:spacing w:before="40"/>
        <w:rPr>
          <w:sz w:val="20"/>
          <w:szCs w:val="20"/>
        </w:rPr>
        <w:outlineLvl w:val="5"/>
      </w:pPr>
      <w:r>
        <w:rPr>
          <w:bCs/>
          <w:iCs/>
          <w:sz w:val="20"/>
          <w:szCs w:val="20"/>
        </w:rPr>
        <w:t xml:space="preserve">сельскохозяйственных кредитных потребительских кооперативов), организациям и  </w:t>
      </w:r>
      <w:r>
        <w:rPr>
          <w:bCs/>
          <w:iCs/>
          <w:sz w:val="20"/>
          <w:szCs w:val="20"/>
        </w:rPr>
        <w:t xml:space="preserve">индивидуальным предпринимателям, осуществляющим производство, первичную и (или)</w:t>
      </w:r>
      <w:r>
        <w:t xml:space="preserve"> </w:t>
      </w:r>
      <w:r>
        <w:rPr>
          <w:bCs/>
          <w:iCs/>
          <w:sz w:val="20"/>
          <w:szCs w:val="20"/>
        </w:rPr>
        <w:t xml:space="preserve">последующую (промышленную) переработку сельскохозяйственной продукции и ее</w:t>
      </w:r>
      <w:r>
        <w:t xml:space="preserve"> </w:t>
      </w:r>
      <w:r>
        <w:rPr>
          <w:bCs/>
          <w:iCs/>
          <w:sz w:val="20"/>
          <w:szCs w:val="20"/>
        </w:rPr>
        <w:t xml:space="preserve">реализацию, по льготной ставке» (далее – Решение </w:t>
      </w:r>
      <w:r>
        <w:rPr>
          <w:bCs/>
          <w:iCs/>
          <w:sz w:val="20"/>
          <w:szCs w:val="20"/>
        </w:rPr>
        <w:t xml:space="preserve">№</w:t>
      </w:r>
      <w:r>
        <w:rPr>
          <w:bCs/>
          <w:iCs/>
          <w:sz w:val="20"/>
          <w:szCs w:val="20"/>
        </w:rPr>
        <w:t xml:space="preserve">  1698-Р), принятого в соответствии с</w:t>
      </w:r>
      <w:r>
        <w:t xml:space="preserve"> </w:t>
      </w:r>
      <w:r>
        <w:rPr>
          <w:bCs/>
          <w:iCs/>
          <w:sz w:val="20"/>
          <w:szCs w:val="20"/>
        </w:rPr>
        <w:t xml:space="preserve">ППРФ от 25.10.2023 </w:t>
      </w:r>
      <w:r>
        <w:rPr>
          <w:bCs/>
          <w:iCs/>
          <w:sz w:val="20"/>
          <w:szCs w:val="20"/>
        </w:rPr>
        <w:t xml:space="preserve">№</w:t>
      </w:r>
      <w:r>
        <w:rPr>
          <w:bCs/>
          <w:iCs/>
          <w:sz w:val="20"/>
          <w:szCs w:val="20"/>
        </w:rPr>
        <w:t xml:space="preserve"> 1780;</w:t>
      </w:r>
      <w:r>
        <w:rPr>
          <w:bCs/>
          <w:iCs/>
          <w:sz w:val="20"/>
          <w:szCs w:val="20"/>
        </w:rPr>
      </w:r>
      <w:r>
        <w:rPr>
          <w:sz w:val="20"/>
          <w:szCs w:val="20"/>
        </w:rPr>
      </w:r>
    </w:p>
    <w:p>
      <w:pPr>
        <w:jc w:val="both"/>
        <w:spacing w:before="40"/>
        <w:rPr>
          <w:sz w:val="20"/>
          <w:szCs w:val="20"/>
        </w:rPr>
        <w:outlineLvl w:val="5"/>
      </w:pPr>
      <w:r>
        <w:rPr>
          <w:bCs/>
          <w:iCs/>
          <w:sz w:val="20"/>
          <w:szCs w:val="20"/>
        </w:rPr>
      </w:r>
      <w:r>
        <w:rPr>
          <w:bCs/>
          <w:iCs/>
          <w:sz w:val="20"/>
          <w:szCs w:val="20"/>
        </w:rPr>
        <w:t xml:space="preserve">- при кредитовании в рамках Правил возмещения кр</w:t>
      </w:r>
      <w:r>
        <w:rPr>
          <w:bCs/>
          <w:iCs/>
          <w:sz w:val="20"/>
          <w:szCs w:val="20"/>
        </w:rPr>
        <w:t xml:space="preserve">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w:t>
      </w:r>
      <w:r>
        <w:rPr>
          <w:bCs/>
          <w:iCs/>
          <w:sz w:val="20"/>
          <w:szCs w:val="20"/>
        </w:rPr>
        <w:t xml:space="preserve">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Pr>
          <w:bCs/>
          <w:iCs/>
          <w:sz w:val="20"/>
          <w:szCs w:val="20"/>
        </w:rPr>
        <w:t xml:space="preserve">629) (</w:t>
      </w:r>
      <w:r>
        <w:rPr>
          <w:bCs/>
          <w:iCs/>
          <w:sz w:val="20"/>
          <w:szCs w:val="20"/>
        </w:rPr>
        <w:t xml:space="preserve">далее –</w:t>
      </w:r>
      <w:r>
        <w:rPr>
          <w:bCs/>
          <w:iCs/>
          <w:sz w:val="20"/>
          <w:szCs w:val="20"/>
        </w:rPr>
        <w:t xml:space="preserve"> ППРФ от 30.04.2020 № </w:t>
      </w:r>
      <w:r>
        <w:rPr>
          <w:bCs/>
          <w:iCs/>
          <w:sz w:val="20"/>
          <w:szCs w:val="20"/>
        </w:rPr>
        <w:t xml:space="preserve">629);</w:t>
      </w:r>
      <w:r>
        <w:rPr>
          <w:bCs/>
          <w:iCs/>
          <w:sz w:val="20"/>
          <w:szCs w:val="20"/>
        </w:rPr>
      </w:r>
      <w:r>
        <w:rPr>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w:t>
      </w:r>
      <w:r>
        <w:rPr>
          <w:bCs/>
          <w:iCs/>
          <w:sz w:val="20"/>
          <w:szCs w:val="20"/>
        </w:rPr>
        <w:t xml:space="preserve">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Pr>
          <w:bCs/>
          <w:iCs/>
          <w:sz w:val="20"/>
          <w:szCs w:val="20"/>
        </w:rPr>
        <w:t xml:space="preserve">№ 279) </w:t>
      </w:r>
      <w:r>
        <w:rPr>
          <w:bCs/>
          <w:iCs/>
          <w:sz w:val="20"/>
          <w:szCs w:val="20"/>
        </w:rPr>
        <w:t xml:space="preserve">(далее – ППРФ </w:t>
      </w:r>
      <w:r>
        <w:rPr>
          <w:bCs/>
          <w:iCs/>
          <w:sz w:val="20"/>
          <w:szCs w:val="20"/>
        </w:rPr>
        <w:t xml:space="preserve">от 27.02.2021</w:t>
      </w:r>
      <w:r>
        <w:rPr>
          <w:bCs/>
          <w:iCs/>
          <w:sz w:val="20"/>
          <w:szCs w:val="20"/>
        </w:rPr>
        <w:t xml:space="preserve"> </w:t>
      </w:r>
      <w:r>
        <w:rPr>
          <w:bCs/>
          <w:iCs/>
          <w:sz w:val="20"/>
          <w:szCs w:val="20"/>
        </w:rPr>
        <w:t xml:space="preserve">№ 279</w:t>
      </w:r>
      <w:r>
        <w:rPr>
          <w:bCs/>
          <w:iCs/>
          <w:sz w:val="20"/>
          <w:szCs w:val="20"/>
        </w:rPr>
        <w:t xml:space="preserve">); </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w:t>
      </w:r>
      <w:r>
        <w:rPr>
          <w:bCs/>
          <w:iCs/>
          <w:sz w:val="20"/>
          <w:szCs w:val="20"/>
        </w:rPr>
        <w:t xml:space="preserve">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Pr>
          <w:bCs/>
          <w:iCs/>
          <w:sz w:val="20"/>
          <w:szCs w:val="20"/>
        </w:rPr>
        <w:t xml:space="preserve">от 16.03.2022 № 375</w:t>
      </w:r>
      <w:r>
        <w:rPr>
          <w:bCs/>
          <w:iCs/>
          <w:sz w:val="20"/>
          <w:szCs w:val="20"/>
        </w:rPr>
        <w:t xml:space="preserve">); </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bCs/>
          <w:iCs/>
          <w:sz w:val="20"/>
          <w:szCs w:val="20"/>
        </w:rPr>
        <w:t xml:space="preserve">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Pr>
          <w:bCs/>
          <w:iCs/>
          <w:sz w:val="20"/>
          <w:szCs w:val="20"/>
        </w:rPr>
        <w:t xml:space="preserve">от 17.03.2022 № 393</w:t>
      </w:r>
      <w:r>
        <w:rPr>
          <w:bCs/>
          <w:iCs/>
          <w:sz w:val="20"/>
          <w:szCs w:val="20"/>
        </w:rPr>
        <w:t xml:space="preserve">); </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w:t>
      </w:r>
      <w:r>
        <w:rPr>
          <w:bCs/>
          <w:iCs/>
          <w:sz w:val="20"/>
          <w:szCs w:val="20"/>
        </w:rPr>
        <w:t xml:space="preserve">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type="textWrapping" w:clear="all"/>
      </w:r>
      <w:r>
        <w:rPr>
          <w:bCs/>
          <w:iCs/>
          <w:sz w:val="20"/>
          <w:szCs w:val="20"/>
        </w:rPr>
        <w:t xml:space="preserve">№ 574) </w:t>
      </w:r>
      <w:r>
        <w:rPr>
          <w:bCs/>
          <w:iCs/>
          <w:sz w:val="20"/>
          <w:szCs w:val="20"/>
        </w:rPr>
        <w:t xml:space="preserve">(далее – ППРФ </w:t>
      </w:r>
      <w:r>
        <w:rPr>
          <w:bCs/>
          <w:iCs/>
          <w:sz w:val="20"/>
          <w:szCs w:val="20"/>
        </w:rPr>
        <w:t xml:space="preserve">от 02.04.2022 № 574</w:t>
      </w:r>
      <w:r>
        <w:rPr>
          <w:bCs/>
          <w:iCs/>
          <w:sz w:val="20"/>
          <w:szCs w:val="20"/>
        </w:rPr>
        <w:t xml:space="preserve">);</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w:t>
      </w:r>
      <w:r>
        <w:rPr>
          <w:bCs/>
          <w:iCs/>
          <w:sz w:val="20"/>
          <w:szCs w:val="20"/>
        </w:rPr>
        <w:t xml:space="preserve">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br w:type="textWrapping" w:clear="all"/>
      </w:r>
      <w:r>
        <w:rPr>
          <w:bCs/>
          <w:iCs/>
          <w:sz w:val="20"/>
          <w:szCs w:val="20"/>
        </w:rPr>
        <w:t xml:space="preserve">от 18.05.2022 № 895</w:t>
      </w:r>
      <w:r>
        <w:rPr>
          <w:bCs/>
          <w:iCs/>
          <w:sz w:val="20"/>
          <w:szCs w:val="20"/>
        </w:rPr>
        <w:t xml:space="preserve">);</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предоставления субсидий </w:t>
      </w:r>
      <w:r>
        <w:rPr>
          <w:bCs/>
          <w:iCs/>
          <w:sz w:val="20"/>
          <w:szCs w:val="20"/>
        </w:rPr>
        <w:t xml:space="preserve">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Pr>
          <w:bCs/>
          <w:iCs/>
          <w:sz w:val="20"/>
          <w:szCs w:val="20"/>
        </w:rPr>
        <w:t xml:space="preserve">от 03.06.2017 № 674) (далее – ППРФ от 03.06.2017 № 674)</w:t>
      </w:r>
      <w:r>
        <w:rPr>
          <w:bCs/>
          <w:iCs/>
          <w:sz w:val="20"/>
          <w:szCs w:val="20"/>
        </w:rPr>
        <w:t xml:space="preserve">;</w:t>
      </w:r>
      <w:r>
        <w:rPr>
          <w:bCs/>
          <w:iCs/>
          <w:sz w:val="20"/>
          <w:szCs w:val="20"/>
        </w:rPr>
        <w:t xml:space="preserve"> </w:t>
      </w:r>
      <w:r>
        <w:rPr>
          <w:bCs/>
          <w:iCs/>
          <w:sz w:val="20"/>
          <w:szCs w:val="20"/>
        </w:rPr>
      </w:r>
      <w:r>
        <w:rPr>
          <w:bCs/>
          <w:iCs/>
          <w:sz w:val="20"/>
          <w:szCs w:val="20"/>
        </w:rPr>
      </w:r>
    </w:p>
    <w:p>
      <w:pPr>
        <w:pStyle w:val="1142"/>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42"/>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42"/>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color w:val="000000"/>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color w:val="000000"/>
          <w:sz w:val="20"/>
          <w:szCs w:val="20"/>
        </w:rPr>
        <w:t xml:space="preserve">постановлением Правительства Российской Федерации от 24.12.2019 № 1804) (далее – ППРФ от 24.12.2019 № 1804);</w:t>
      </w:r>
      <w:r>
        <w:rPr>
          <w:bCs/>
          <w:iCs/>
          <w:color w:val="000000"/>
          <w:sz w:val="20"/>
          <w:szCs w:val="20"/>
        </w:rPr>
      </w:r>
      <w:r>
        <w:rPr>
          <w:bCs/>
          <w:iCs/>
          <w:color w:val="000000"/>
          <w:sz w:val="20"/>
          <w:szCs w:val="20"/>
        </w:rPr>
      </w:r>
    </w:p>
    <w:p>
      <w:pPr>
        <w:pStyle w:val="1142"/>
        <w:jc w:val="both"/>
        <w:spacing w:before="40"/>
        <w:rPr>
          <w:bCs/>
          <w:iCs/>
          <w:color w:val="000000"/>
          <w:sz w:val="20"/>
          <w:szCs w:val="20"/>
        </w:rPr>
        <w:outlineLvl w:val="5"/>
      </w:pPr>
      <w:r>
        <w:rPr>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color w:val="000000"/>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color w:val="000000"/>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color w:val="000000"/>
          <w:sz w:val="20"/>
          <w:szCs w:val="20"/>
        </w:rPr>
      </w:r>
      <w:r>
        <w:rPr>
          <w:bCs/>
          <w:iCs/>
          <w:color w:val="000000"/>
          <w:sz w:val="20"/>
          <w:szCs w:val="20"/>
        </w:rPr>
      </w:r>
    </w:p>
    <w:p>
      <w:pPr>
        <w:pStyle w:val="1142"/>
        <w:jc w:val="both"/>
        <w:spacing w:before="40" w:after="120"/>
        <w:rPr>
          <w:bCs/>
          <w:iCs/>
          <w:color w:val="000000"/>
          <w:sz w:val="20"/>
          <w:szCs w:val="20"/>
        </w:rPr>
        <w:outlineLvl w:val="5"/>
      </w:pPr>
      <w:r>
        <w:rPr>
          <w:bCs/>
          <w:iCs/>
          <w:color w:val="000000"/>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w:t>
      </w:r>
      <w:r>
        <w:rPr>
          <w:bCs/>
          <w:iCs/>
          <w:color w:val="000000"/>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color w:val="000000"/>
          <w:sz w:val="20"/>
          <w:szCs w:val="20"/>
        </w:rPr>
      </w:r>
      <w:r>
        <w:rPr>
          <w:bCs/>
          <w:iCs/>
          <w:color w:val="000000"/>
          <w:sz w:val="20"/>
          <w:szCs w:val="20"/>
        </w:rPr>
      </w:r>
    </w:p>
    <w:p>
      <w:pPr>
        <w:pStyle w:val="1142"/>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w:t>
      </w:r>
      <w:r>
        <w:rPr>
          <w:color w:val="000000"/>
          <w:sz w:val="20"/>
          <w:szCs w:val="20"/>
        </w:rPr>
        <w:t xml:space="preserve">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w:t>
      </w:r>
      <w:r>
        <w:rPr>
          <w:color w:val="000000"/>
          <w:sz w:val="20"/>
          <w:szCs w:val="20"/>
        </w:rPr>
        <w:t xml:space="preserve">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w:t>
      </w:r>
      <w:r>
        <w:rPr>
          <w:color w:val="000000"/>
          <w:sz w:val="20"/>
          <w:szCs w:val="20"/>
        </w:rPr>
        <w:t xml:space="preserve">щую (промышленную) переработку сельскохозяйственной продукции и ее реализацию, по льготной ставке» далее – Решение № 258-Р , принятого в соответствии с постановлением Правительства Российской Федерации от 25.10.2023 № 1780 «Об утверждении Правил предоставл</w:t>
      </w:r>
      <w:r>
        <w:rPr>
          <w:color w:val="000000"/>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color w:val="000000"/>
          <w:sz w:val="20"/>
          <w:szCs w:val="20"/>
        </w:rPr>
      </w:r>
      <w:r>
        <w:rPr>
          <w:color w:val="000000"/>
          <w:sz w:val="20"/>
          <w:szCs w:val="20"/>
        </w:rPr>
      </w:r>
    </w:p>
    <w:p>
      <w:pPr>
        <w:pStyle w:val="1142"/>
        <w:jc w:val="both"/>
        <w:spacing w:before="40" w:after="40"/>
        <w:rPr>
          <w:color w:val="000000"/>
          <w:sz w:val="20"/>
          <w:szCs w:val="20"/>
        </w:rPr>
        <w:outlineLvl w:val="5"/>
      </w:pPr>
      <w:r>
        <w:rPr>
          <w:color w:val="000000"/>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w:t>
      </w:r>
      <w:r>
        <w:rPr>
          <w:color w:val="000000"/>
          <w:sz w:val="20"/>
          <w:szCs w:val="20"/>
        </w:rPr>
        <w:t xml:space="preserve">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w:t>
      </w:r>
      <w:r>
        <w:rPr>
          <w:color w:val="000000"/>
          <w:sz w:val="20"/>
          <w:szCs w:val="20"/>
        </w:rPr>
        <w:t xml:space="preserve">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color w:val="000000"/>
          <w:sz w:val="20"/>
          <w:szCs w:val="20"/>
        </w:rPr>
      </w:r>
      <w:r>
        <w:rPr>
          <w:color w:val="000000"/>
          <w:sz w:val="20"/>
          <w:szCs w:val="20"/>
        </w:rPr>
      </w:r>
    </w:p>
    <w:p>
      <w:pPr>
        <w:pStyle w:val="1142"/>
        <w:jc w:val="both"/>
        <w:rPr>
          <w:color w:val="000000"/>
          <w:sz w:val="20"/>
          <w:szCs w:val="20"/>
        </w:rPr>
      </w:pPr>
      <w:r>
        <w:rPr>
          <w:color w:val="000000"/>
          <w:sz w:val="20"/>
          <w:szCs w:val="20"/>
        </w:rPr>
        <w:t xml:space="preserve">- при кредитовании в рамках решения Министерства экономического развития Российской Федерации о порядке предоставления субсидии от </w:t>
      </w:r>
      <w:r>
        <w:rPr>
          <w:color w:val="000000"/>
          <w:sz w:val="20"/>
          <w:szCs w:val="20"/>
        </w:rPr>
        <w:t xml:space="preserve">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color w:val="000000"/>
          <w:sz w:val="20"/>
          <w:szCs w:val="20"/>
        </w:rPr>
      </w:r>
      <w:r>
        <w:rPr>
          <w:color w:val="000000"/>
          <w:sz w:val="20"/>
          <w:szCs w:val="20"/>
        </w:rPr>
      </w:r>
    </w:p>
    <w:p>
      <w:pPr>
        <w:pStyle w:val="1142"/>
        <w:jc w:val="both"/>
        <w:tabs>
          <w:tab w:val="left" w:pos="1134" w:leader="none"/>
        </w:tabs>
        <w:rPr>
          <w:sz w:val="20"/>
          <w:szCs w:val="20"/>
        </w:rPr>
      </w:pPr>
      <w:r>
        <w:rPr>
          <w:sz w:val="20"/>
          <w:szCs w:val="20"/>
        </w:rPr>
        <w:t xml:space="preserve">-</w:t>
      </w:r>
      <w:r>
        <w:rPr>
          <w:sz w:val="20"/>
          <w:szCs w:val="20"/>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w:t>
      </w:r>
      <w:r>
        <w:rPr>
          <w:sz w:val="20"/>
          <w:szCs w:val="20"/>
        </w:rPr>
        <w:t xml:space="preserve">ия субсидии от 22.02.2024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w:t>
      </w:r>
      <w:r>
        <w:rPr>
          <w:sz w:val="20"/>
          <w:szCs w:val="20"/>
        </w:rPr>
        <w:t xml:space="preserve">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20"/>
          <w:szCs w:val="20"/>
        </w:rPr>
      </w:r>
      <w:r>
        <w:rPr>
          <w:sz w:val="20"/>
          <w:szCs w:val="20"/>
        </w:rPr>
      </w:r>
    </w:p>
    <w:p>
      <w:pPr>
        <w:pStyle w:val="1142"/>
        <w:jc w:val="both"/>
        <w:tabs>
          <w:tab w:val="left" w:pos="1134" w:leader="none"/>
        </w:tabs>
        <w:rPr>
          <w:sz w:val="20"/>
          <w:szCs w:val="20"/>
        </w:rPr>
      </w:pPr>
      <w:r>
        <w:rPr>
          <w:sz w:val="20"/>
          <w:szCs w:val="20"/>
        </w:rPr>
      </w:r>
      <w:r>
        <w:rPr>
          <w:sz w:val="20"/>
          <w:szCs w:val="20"/>
        </w:rPr>
      </w:r>
      <w:r>
        <w:rPr>
          <w:sz w:val="20"/>
          <w:szCs w:val="20"/>
        </w:rPr>
      </w:r>
    </w:p>
    <w:p>
      <w:pPr>
        <w:pStyle w:val="1142"/>
        <w:jc w:val="both"/>
        <w:tabs>
          <w:tab w:val="left" w:pos="1134" w:leader="none"/>
        </w:tabs>
        <w:rPr>
          <w:sz w:val="20"/>
          <w:szCs w:val="20"/>
        </w:rPr>
      </w:pPr>
      <w:r>
        <w:rPr>
          <w:sz w:val="20"/>
          <w:szCs w:val="20"/>
        </w:rPr>
      </w:r>
      <w:r>
        <w:rPr>
          <w:sz w:val="20"/>
          <w:szCs w:val="20"/>
        </w:rPr>
      </w:r>
      <w:r>
        <w:rPr>
          <w:sz w:val="20"/>
          <w:szCs w:val="20"/>
        </w:rPr>
      </w:r>
    </w:p>
    <w:tbl>
      <w:tblPr>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820"/>
        <w:gridCol w:w="4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42"/>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9343" w:type="dxa"/>
            <w:vAlign w:val="top"/>
            <w:textDirection w:val="lrTb"/>
            <w:noWrap w:val="false"/>
          </w:tcPr>
          <w:p>
            <w:pPr>
              <w:pStyle w:val="1142"/>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2"/>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820" w:type="dxa"/>
            <w:vAlign w:val="top"/>
            <w:textDirection w:val="lrTb"/>
            <w:noWrap w:val="false"/>
          </w:tcPr>
          <w:p>
            <w:pPr>
              <w:pStyle w:val="1142"/>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523" w:type="dxa"/>
            <w:vAlign w:val="top"/>
            <w:textDirection w:val="lrTb"/>
            <w:noWrap w:val="false"/>
          </w:tcPr>
          <w:p>
            <w:pPr>
              <w:pStyle w:val="1142"/>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2"/>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9343" w:type="dxa"/>
            <w:vAlign w:val="top"/>
            <w:textDirection w:val="lrTb"/>
            <w:noWrap w:val="false"/>
          </w:tcPr>
          <w:p>
            <w:pPr>
              <w:pStyle w:val="1142"/>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2"/>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820" w:type="dxa"/>
            <w:vAlign w:val="top"/>
            <w:textDirection w:val="lrTb"/>
            <w:noWrap w:val="false"/>
          </w:tcPr>
          <w:p>
            <w:pPr>
              <w:pStyle w:val="1142"/>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523" w:type="dxa"/>
            <w:vAlign w:val="top"/>
            <w:textDirection w:val="lrTb"/>
            <w:noWrap w:val="false"/>
          </w:tcPr>
          <w:p>
            <w:pPr>
              <w:pStyle w:val="1142"/>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820" w:type="dxa"/>
            <w:vAlign w:val="top"/>
            <w:textDirection w:val="lrTb"/>
            <w:noWrap w:val="false"/>
          </w:tcPr>
          <w:p>
            <w:pPr>
              <w:pStyle w:val="1142"/>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42"/>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523" w:type="dxa"/>
            <w:vAlign w:val="top"/>
            <w:textDirection w:val="lrTb"/>
            <w:noWrap w:val="false"/>
          </w:tcPr>
          <w:p>
            <w:pPr>
              <w:pStyle w:val="1142"/>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820" w:type="dxa"/>
            <w:vAlign w:val="top"/>
            <w:textDirection w:val="lrTb"/>
            <w:noWrap w:val="false"/>
          </w:tcPr>
          <w:p>
            <w:pPr>
              <w:pStyle w:val="1142"/>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42"/>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30.04.2020 № 629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t xml:space="preserve">- ППРФ от 30.04.2020 № 629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27.02.2021 № 279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t xml:space="preserve">- ППРФ от 27.02.2021 № 279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7</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8</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16.03.2022 № 375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t xml:space="preserve">- ППРФ от 16.03.2022 № 375</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9</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17.03.2022 № 393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10</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02.04.2022 № 574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11</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18.05.2022 № 895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pPr>
            <w:r>
              <w:rPr>
                <w:bCs/>
                <w:iCs/>
                <w:sz w:val="20"/>
                <w:szCs w:val="20"/>
              </w:rPr>
              <w:t xml:space="preserve">12</w:t>
            </w:r>
            <w:r>
              <w:rPr>
                <w:bCs/>
                <w:iCs/>
                <w:sz w:val="20"/>
                <w:szCs w:val="20"/>
              </w:rPr>
            </w:r>
            <w:r>
              <w:rPr>
                <w:bCs/>
                <w:iCs/>
                <w:sz w:val="20"/>
                <w:szCs w:val="20"/>
              </w:rPr>
            </w:r>
          </w:p>
        </w:tc>
        <w:tc>
          <w:tcPr>
            <w:tcW w:w="4820" w:type="dxa"/>
            <w:vAlign w:val="top"/>
            <w:textDirection w:val="lrTb"/>
            <w:noWrap w:val="false"/>
          </w:tcPr>
          <w:p>
            <w:pPr>
              <w:pStyle w:val="1142"/>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523" w:type="dxa"/>
            <w:vAlign w:val="top"/>
            <w:textDirection w:val="lrTb"/>
            <w:noWrap w:val="false"/>
          </w:tcPr>
          <w:p>
            <w:pPr>
              <w:pStyle w:val="1142"/>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820" w:type="dxa"/>
            <w:vAlign w:val="top"/>
            <w:textDirection w:val="lrTb"/>
            <w:noWrap w:val="false"/>
          </w:tcPr>
          <w:p>
            <w:pPr>
              <w:pStyle w:val="1142"/>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523" w:type="dxa"/>
            <w:vAlign w:val="top"/>
            <w:textDirection w:val="lrTb"/>
            <w:noWrap w:val="false"/>
          </w:tcPr>
          <w:p>
            <w:pPr>
              <w:pStyle w:val="1142"/>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820" w:type="dxa"/>
            <w:vAlign w:val="top"/>
            <w:textDirection w:val="lrTb"/>
            <w:noWrap w:val="false"/>
          </w:tcPr>
          <w:p>
            <w:pPr>
              <w:pStyle w:val="1142"/>
              <w:keepNext/>
              <w:spacing w:before="40" w:after="40"/>
              <w:rPr>
                <w:bCs/>
                <w:iCs/>
                <w:sz w:val="20"/>
                <w:szCs w:val="20"/>
              </w:rPr>
              <w:outlineLvl w:val="5"/>
            </w:pPr>
            <w:r>
              <w:rPr>
                <w:bCs/>
                <w:iCs/>
                <w:sz w:val="20"/>
                <w:szCs w:val="20"/>
              </w:rPr>
              <w:t xml:space="preserve">- ППРФ от 03.06.2017 № 674 </w:t>
            </w:r>
            <w:r>
              <w:rPr>
                <w:bCs/>
                <w:iCs/>
                <w:sz w:val="20"/>
                <w:szCs w:val="20"/>
              </w:rPr>
            </w:r>
            <w:r>
              <w:rPr>
                <w:bCs/>
                <w:iCs/>
                <w:sz w:val="20"/>
                <w:szCs w:val="20"/>
              </w:rPr>
            </w:r>
          </w:p>
        </w:tc>
        <w:tc>
          <w:tcPr>
            <w:tcW w:w="4523" w:type="dxa"/>
            <w:vAlign w:val="top"/>
            <w:textDirection w:val="lrTb"/>
            <w:noWrap w:val="false"/>
          </w:tcPr>
          <w:p>
            <w:pPr>
              <w:pStyle w:val="1142"/>
              <w:keepNext/>
              <w:spacing w:before="40" w:after="40"/>
              <w:rPr>
                <w:bCs/>
                <w:iCs/>
                <w:sz w:val="20"/>
                <w:szCs w:val="20"/>
              </w:rPr>
              <w:outlineLvl w:val="5"/>
            </w:pPr>
            <w:r>
              <w:rPr>
                <w:bCs/>
                <w:iCs/>
                <w:sz w:val="20"/>
                <w:szCs w:val="20"/>
              </w:rPr>
              <w:t xml:space="preserve">- ППРФ от 03.06.2017 № 674</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820" w:type="dxa"/>
            <w:vAlign w:val="top"/>
            <w:textDirection w:val="lrTb"/>
            <w:noWrap w:val="false"/>
          </w:tcPr>
          <w:p>
            <w:pPr>
              <w:pStyle w:val="1142"/>
              <w:keepNext/>
              <w:spacing w:before="40" w:after="40"/>
              <w:rPr>
                <w:iCs/>
                <w:sz w:val="20"/>
                <w:szCs w:val="20"/>
                <w:highlight w:val="none"/>
              </w:rPr>
              <w:outlineLvl w:val="5"/>
            </w:pPr>
            <w:r>
              <w:rPr>
                <w:bCs/>
                <w:iCs/>
                <w:sz w:val="20"/>
                <w:szCs w:val="20"/>
              </w:rPr>
              <w:t xml:space="preserve">- ППРФ от 06.09.2022 № 1570 </w:t>
            </w:r>
            <w:r>
              <w:rPr>
                <w:iCs/>
                <w:sz w:val="20"/>
                <w:szCs w:val="20"/>
                <w:highlight w:val="none"/>
              </w:rPr>
            </w:r>
            <w:r>
              <w:rPr>
                <w:iCs/>
                <w:sz w:val="20"/>
                <w:szCs w:val="20"/>
                <w:highlight w:val="none"/>
              </w:rPr>
            </w:r>
          </w:p>
          <w:p>
            <w:pPr>
              <w:keepNext/>
              <w:spacing w:before="40" w:after="40"/>
              <w:outlineLvl w:val="5"/>
            </w:pPr>
            <w:r>
              <w:rPr>
                <w:sz w:val="20"/>
                <w:szCs w:val="20"/>
              </w:rPr>
              <w:t xml:space="preserve">- Решение </w:t>
            </w:r>
            <w:r>
              <w:rPr>
                <w:bCs/>
                <w:iCs/>
                <w:sz w:val="20"/>
                <w:szCs w:val="20"/>
              </w:rPr>
              <w:t xml:space="preserve">№</w:t>
            </w:r>
            <w:r>
              <w:rPr>
                <w:sz w:val="20"/>
                <w:szCs w:val="20"/>
              </w:rPr>
              <w:t xml:space="preserve"> 1969-Р (в рамках ППРФ </w:t>
            </w:r>
            <w:r>
              <w:rPr>
                <w:sz w:val="20"/>
                <w:szCs w:val="20"/>
              </w:rPr>
              <w:t xml:space="preserve">от 25.10.2023 </w:t>
            </w:r>
            <w:r>
              <w:rPr>
                <w:bCs/>
                <w:iCs/>
                <w:sz w:val="20"/>
                <w:szCs w:val="20"/>
              </w:rPr>
              <w:t xml:space="preserve">№</w:t>
            </w:r>
            <w:r>
              <w:rPr>
                <w:sz w:val="20"/>
                <w:szCs w:val="20"/>
              </w:rPr>
              <w:t xml:space="preserve"> 1780)</w:t>
            </w:r>
            <w:r>
              <w:rPr>
                <w:sz w:val="20"/>
                <w:szCs w:val="20"/>
              </w:rPr>
            </w:r>
            <w:r/>
          </w:p>
        </w:tc>
        <w:tc>
          <w:tcPr>
            <w:tcW w:w="4523" w:type="dxa"/>
            <w:vAlign w:val="top"/>
            <w:textDirection w:val="lrTb"/>
            <w:noWrap w:val="false"/>
          </w:tcPr>
          <w:p>
            <w:pPr>
              <w:pStyle w:val="1142"/>
              <w:keepNext/>
              <w:spacing w:before="40" w:after="40"/>
              <w:rPr>
                <w:iCs/>
                <w:sz w:val="20"/>
                <w:szCs w:val="20"/>
                <w:highlight w:val="none"/>
              </w:rPr>
              <w:outlineLvl w:val="5"/>
            </w:pPr>
            <w:r>
              <w:rPr>
                <w:bCs/>
                <w:iCs/>
                <w:sz w:val="20"/>
                <w:szCs w:val="20"/>
              </w:rPr>
              <w:t xml:space="preserve">- ППРФ от 06.092022 № 1570</w:t>
            </w:r>
            <w:r>
              <w:rPr>
                <w:iCs/>
                <w:sz w:val="20"/>
                <w:szCs w:val="20"/>
                <w:highlight w:val="none"/>
              </w:rPr>
            </w:r>
            <w:r>
              <w:rPr>
                <w:iCs/>
                <w:sz w:val="20"/>
                <w:szCs w:val="20"/>
                <w:highlight w:val="none"/>
              </w:rPr>
            </w:r>
          </w:p>
          <w:p>
            <w:pPr>
              <w:keepNext/>
              <w:spacing w:before="40" w:after="40"/>
              <w:outlineLvl w:val="5"/>
            </w:pPr>
            <w:r>
              <w:rPr>
                <w:bCs/>
                <w:iCs/>
                <w:sz w:val="20"/>
                <w:szCs w:val="20"/>
                <w:highlight w:val="none"/>
              </w:rPr>
              <w:t xml:space="preserve">- Решение </w:t>
            </w:r>
            <w:r>
              <w:rPr>
                <w:bCs/>
                <w:iCs/>
                <w:sz w:val="20"/>
                <w:szCs w:val="20"/>
              </w:rPr>
              <w:t xml:space="preserve">№</w:t>
            </w:r>
            <w:r>
              <w:rPr>
                <w:bCs/>
                <w:iCs/>
                <w:sz w:val="20"/>
                <w:szCs w:val="20"/>
                <w:highlight w:val="none"/>
              </w:rPr>
              <w:t xml:space="preserve"> 1969-Р (в рамках ППРФ </w:t>
            </w:r>
            <w:r>
              <w:rPr>
                <w:bCs/>
                <w:iCs/>
                <w:sz w:val="20"/>
                <w:szCs w:val="20"/>
                <w:highlight w:val="none"/>
              </w:rPr>
              <w:t xml:space="preserve">от 25.10.2023 </w:t>
            </w:r>
            <w:r>
              <w:rPr>
                <w:bCs/>
                <w:iCs/>
                <w:sz w:val="20"/>
                <w:szCs w:val="20"/>
              </w:rPr>
              <w:t xml:space="preserve">№</w:t>
            </w:r>
            <w:r>
              <w:rPr>
                <w:bCs/>
                <w:iCs/>
                <w:sz w:val="20"/>
                <w:szCs w:val="20"/>
                <w:highlight w:val="none"/>
              </w:rPr>
              <w:t xml:space="preserve"> 1780)</w:t>
            </w:r>
            <w:r>
              <w:rPr>
                <w:bCs/>
                <w:iCs/>
                <w:sz w:val="20"/>
                <w:szCs w:val="20"/>
                <w:highlight w:val="none"/>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820" w:type="dxa"/>
            <w:vAlign w:val="top"/>
            <w:textDirection w:val="lrTb"/>
            <w:noWrap w:val="false"/>
          </w:tcPr>
          <w:p>
            <w:pPr>
              <w:pStyle w:val="1142"/>
              <w:keepNext/>
              <w:spacing w:before="40" w:after="40"/>
              <w:rPr>
                <w:iCs/>
                <w:sz w:val="20"/>
                <w:szCs w:val="20"/>
                <w:highlight w:val="none"/>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outlineLvl w:val="5"/>
            </w:pPr>
            <w:r>
              <w:rPr>
                <w:sz w:val="20"/>
                <w:szCs w:val="20"/>
              </w:rPr>
              <w:t xml:space="preserve">- Решение </w:t>
            </w:r>
            <w:r>
              <w:rPr>
                <w:bCs/>
                <w:iCs/>
                <w:sz w:val="20"/>
                <w:szCs w:val="20"/>
              </w:rPr>
              <w:t xml:space="preserve">№</w:t>
            </w:r>
            <w:r>
              <w:rPr>
                <w:sz w:val="20"/>
                <w:szCs w:val="20"/>
              </w:rPr>
              <w:t xml:space="preserve"> 1698-Р (в рамках ППРФ </w:t>
            </w:r>
            <w:r>
              <w:rPr>
                <w:sz w:val="20"/>
                <w:szCs w:val="20"/>
              </w:rPr>
              <w:t xml:space="preserve">от 25.10.2023 </w:t>
            </w:r>
            <w:r>
              <w:rPr>
                <w:bCs/>
                <w:iCs/>
                <w:sz w:val="20"/>
                <w:szCs w:val="20"/>
              </w:rPr>
              <w:t xml:space="preserve">№</w:t>
            </w:r>
            <w:r>
              <w:rPr>
                <w:sz w:val="20"/>
                <w:szCs w:val="20"/>
              </w:rPr>
              <w:t xml:space="preserve"> 1780)</w:t>
            </w:r>
            <w:r>
              <w:rPr>
                <w:sz w:val="20"/>
                <w:szCs w:val="20"/>
              </w:rPr>
            </w:r>
            <w:r/>
          </w:p>
        </w:tc>
        <w:tc>
          <w:tcPr>
            <w:tcW w:w="4523" w:type="dxa"/>
            <w:vAlign w:val="top"/>
            <w:textDirection w:val="lrTb"/>
            <w:noWrap w:val="false"/>
          </w:tcPr>
          <w:p>
            <w:pPr>
              <w:pStyle w:val="1142"/>
              <w:keepNext/>
              <w:spacing w:before="40" w:after="40"/>
              <w:rPr>
                <w:iCs/>
                <w:sz w:val="20"/>
                <w:szCs w:val="20"/>
                <w:highlight w:val="none"/>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iCs/>
                <w:sz w:val="20"/>
                <w:szCs w:val="20"/>
                <w:highlight w:val="none"/>
              </w:rPr>
            </w:r>
            <w:r>
              <w:rPr>
                <w:iCs/>
                <w:sz w:val="20"/>
                <w:szCs w:val="20"/>
                <w:highlight w:val="none"/>
              </w:rPr>
            </w:r>
          </w:p>
          <w:p>
            <w:pPr>
              <w:keepNext/>
              <w:spacing w:before="40" w:after="40"/>
              <w:outlineLvl w:val="5"/>
            </w:pPr>
            <w:r>
              <w:rPr>
                <w:bCs/>
                <w:iCs/>
                <w:sz w:val="20"/>
                <w:szCs w:val="20"/>
                <w:highlight w:val="none"/>
              </w:rPr>
              <w:t xml:space="preserve">- Решение </w:t>
            </w:r>
            <w:r>
              <w:rPr>
                <w:bCs/>
                <w:iCs/>
                <w:sz w:val="20"/>
                <w:szCs w:val="20"/>
              </w:rPr>
              <w:t xml:space="preserve">№</w:t>
            </w:r>
            <w:r>
              <w:rPr>
                <w:bCs/>
                <w:iCs/>
                <w:sz w:val="20"/>
                <w:szCs w:val="20"/>
                <w:highlight w:val="none"/>
              </w:rPr>
              <w:t xml:space="preserve"> 1698-Р (в рамках ППРФ</w:t>
            </w:r>
            <w:r/>
          </w:p>
          <w:p>
            <w:pPr>
              <w:keepNext/>
              <w:spacing w:before="40" w:after="40"/>
              <w:rPr>
                <w:sz w:val="20"/>
                <w:szCs w:val="20"/>
              </w:rPr>
              <w:outlineLvl w:val="5"/>
            </w:pPr>
            <w:r>
              <w:rPr>
                <w:bCs/>
                <w:iCs/>
                <w:sz w:val="20"/>
                <w:szCs w:val="20"/>
                <w:highlight w:val="none"/>
              </w:rPr>
              <w:t xml:space="preserve">от 25.10.2023 </w:t>
            </w:r>
            <w:r>
              <w:rPr>
                <w:bCs/>
                <w:iCs/>
                <w:sz w:val="20"/>
                <w:szCs w:val="20"/>
              </w:rPr>
              <w:t xml:space="preserve">№</w:t>
            </w:r>
            <w:r>
              <w:rPr>
                <w:bCs/>
                <w:iCs/>
                <w:sz w:val="20"/>
                <w:szCs w:val="20"/>
                <w:highlight w:val="none"/>
              </w:rPr>
              <w:t xml:space="preserve">  1780)</w:t>
            </w:r>
            <w:r>
              <w:rPr>
                <w:bCs/>
                <w:iCs/>
                <w:sz w:val="20"/>
                <w:szCs w:val="20"/>
                <w:highlight w:val="none"/>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820" w:type="dxa"/>
            <w:vAlign w:val="top"/>
            <w:textDirection w:val="lrTb"/>
            <w:noWrap w:val="false"/>
          </w:tcPr>
          <w:p>
            <w:pPr>
              <w:pStyle w:val="1142"/>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523" w:type="dxa"/>
            <w:vAlign w:val="top"/>
            <w:textDirection w:val="lrTb"/>
            <w:noWrap w:val="false"/>
          </w:tcPr>
          <w:p>
            <w:pPr>
              <w:pStyle w:val="1142"/>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18</w:t>
            </w:r>
            <w:r>
              <w:rPr>
                <w:bCs/>
                <w:iCs/>
                <w:sz w:val="20"/>
                <w:szCs w:val="20"/>
              </w:rPr>
            </w:r>
            <w:r>
              <w:rPr>
                <w:bCs/>
                <w:iCs/>
                <w:sz w:val="20"/>
                <w:szCs w:val="20"/>
              </w:rPr>
            </w:r>
          </w:p>
        </w:tc>
        <w:tc>
          <w:tcPr>
            <w:tcW w:w="4820" w:type="dxa"/>
            <w:vAlign w:val="top"/>
            <w:textDirection w:val="lrTb"/>
            <w:noWrap w:val="false"/>
          </w:tcPr>
          <w:p>
            <w:pPr>
              <w:pStyle w:val="1142"/>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523" w:type="dxa"/>
            <w:vAlign w:val="top"/>
            <w:textDirection w:val="lrTb"/>
            <w:noWrap w:val="false"/>
          </w:tcPr>
          <w:p>
            <w:pPr>
              <w:pStyle w:val="1142"/>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2"/>
              <w:jc w:val="center"/>
              <w:spacing w:before="40" w:after="40"/>
              <w:rPr>
                <w:bCs/>
                <w:iCs/>
                <w:sz w:val="20"/>
                <w:szCs w:val="20"/>
              </w:rPr>
              <w:outlineLvl w:val="5"/>
            </w:pPr>
            <w:r>
              <w:rPr>
                <w:bCs/>
                <w:iCs/>
                <w:sz w:val="20"/>
                <w:szCs w:val="20"/>
              </w:rPr>
              <w:t xml:space="preserve">19</w:t>
            </w:r>
            <w:r>
              <w:rPr>
                <w:bCs/>
                <w:iCs/>
                <w:sz w:val="20"/>
                <w:szCs w:val="20"/>
              </w:rPr>
            </w:r>
            <w:r>
              <w:rPr>
                <w:bCs/>
                <w:iCs/>
                <w:sz w:val="20"/>
                <w:szCs w:val="20"/>
              </w:rPr>
            </w:r>
          </w:p>
        </w:tc>
        <w:tc>
          <w:tcPr>
            <w:tcW w:w="4820" w:type="dxa"/>
            <w:vAlign w:val="top"/>
            <w:textDirection w:val="lrTb"/>
            <w:noWrap w:val="false"/>
          </w:tcPr>
          <w:p>
            <w:pPr>
              <w:pStyle w:val="1142"/>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523" w:type="dxa"/>
            <w:vAlign w:val="top"/>
            <w:textDirection w:val="lrTb"/>
            <w:noWrap w:val="false"/>
          </w:tcPr>
          <w:p>
            <w:pPr>
              <w:pStyle w:val="1142"/>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bl>
    <w:p>
      <w:pPr>
        <w:pStyle w:val="1142"/>
        <w:jc w:val="both"/>
        <w:tabs>
          <w:tab w:val="left" w:pos="1134" w:leader="none"/>
        </w:tabs>
        <w:rPr>
          <w:sz w:val="20"/>
          <w:szCs w:val="20"/>
        </w:rPr>
      </w:pPr>
      <w:r>
        <w:rPr>
          <w:sz w:val="20"/>
          <w:szCs w:val="20"/>
        </w:rPr>
      </w:r>
      <w:r>
        <w:rPr>
          <w:sz w:val="20"/>
          <w:szCs w:val="20"/>
        </w:rPr>
      </w:r>
      <w:r>
        <w:rPr>
          <w:sz w:val="20"/>
          <w:szCs w:val="20"/>
        </w:rPr>
      </w:r>
    </w:p>
    <w:p>
      <w:pPr>
        <w:pStyle w:val="1142"/>
        <w:jc w:val="both"/>
        <w:spacing w:before="120"/>
        <w:rPr>
          <w:lang w:eastAsia="en-US"/>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lang w:eastAsia="en-US"/>
        </w:rPr>
      </w:r>
      <w:r>
        <w:rPr>
          <w:lang w:eastAsia="en-US"/>
        </w:rPr>
      </w:r>
    </w:p>
    <w:p>
      <w:pPr>
        <w:pStyle w:val="1142"/>
        <w:rPr>
          <w:lang w:eastAsia="en-US"/>
        </w:rPr>
      </w:pPr>
      <w:r>
        <w:rPr>
          <w:lang w:eastAsia="en-US"/>
        </w:rPr>
      </w:r>
      <w:r>
        <w:rPr>
          <w:lang w:eastAsia="en-US"/>
        </w:rPr>
      </w:r>
      <w:r>
        <w:rPr>
          <w:lang w:eastAsia="en-US"/>
        </w:rPr>
      </w:r>
    </w:p>
    <w:p>
      <w:pPr>
        <w:pStyle w:val="1142"/>
        <w:rPr>
          <w:lang w:eastAsia="en-US"/>
        </w:rPr>
      </w:pPr>
      <w:r>
        <w:rPr>
          <w:lang w:eastAsia="en-US"/>
        </w:rPr>
      </w:r>
      <w:r>
        <w:rPr>
          <w:lang w:eastAsia="en-US"/>
        </w:rPr>
      </w:r>
      <w:r>
        <w:rPr>
          <w:lang w:eastAsia="en-US"/>
        </w:rPr>
      </w:r>
    </w:p>
    <w:p>
      <w:pPr>
        <w:pStyle w:val="1146"/>
        <w:numPr>
          <w:ilvl w:val="0"/>
          <w:numId w:val="27"/>
        </w:numPr>
      </w:pPr>
      <w:r>
        <w:t xml:space="preserve">Обслуживание торгово-сервисных предприятий</w:t>
      </w:r>
      <w:r>
        <w:footnoteReference w:id="8"/>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1142"/>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114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70" w:type="dxa"/>
            <w:vAlign w:val="top"/>
            <w:textDirection w:val="lrTb"/>
            <w:noWrap w:val="false"/>
          </w:tcPr>
          <w:p>
            <w:pPr>
              <w:pStyle w:val="114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088" w:type="dxa"/>
            <w:vAlign w:val="top"/>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tcW w:w="2835" w:type="dxa"/>
            <w:vAlign w:val="top"/>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jc w:val="center"/>
              <w:rPr>
                <w:sz w:val="20"/>
                <w:szCs w:val="20"/>
              </w:rPr>
            </w:pPr>
            <w:r>
              <w:rPr>
                <w:sz w:val="20"/>
                <w:szCs w:val="20"/>
              </w:rPr>
              <w:t xml:space="preserve">13.1</w:t>
            </w:r>
            <w:r>
              <w:rPr>
                <w:sz w:val="20"/>
                <w:szCs w:val="20"/>
              </w:rPr>
            </w:r>
            <w:r>
              <w:rPr>
                <w:sz w:val="20"/>
                <w:szCs w:val="20"/>
              </w:rPr>
            </w:r>
          </w:p>
        </w:tc>
        <w:tc>
          <w:tcPr>
            <w:tcW w:w="3870" w:type="dxa"/>
            <w:vAlign w:val="top"/>
            <w:textDirection w:val="lrTb"/>
            <w:noWrap w:val="false"/>
          </w:tcPr>
          <w:p>
            <w:pPr>
              <w:pStyle w:val="1142"/>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jc w:val="center"/>
              <w:rPr>
                <w:sz w:val="20"/>
                <w:szCs w:val="20"/>
              </w:rPr>
            </w:pPr>
            <w:r>
              <w:rPr>
                <w:sz w:val="20"/>
                <w:szCs w:val="20"/>
              </w:rPr>
              <w:t xml:space="preserve">13.2.</w:t>
            </w:r>
            <w:r>
              <w:rPr>
                <w:sz w:val="20"/>
                <w:szCs w:val="20"/>
              </w:rPr>
            </w:r>
            <w:r>
              <w:rPr>
                <w:sz w:val="20"/>
                <w:szCs w:val="20"/>
              </w:rPr>
            </w:r>
          </w:p>
        </w:tc>
        <w:tc>
          <w:tcPr>
            <w:tcW w:w="3870" w:type="dxa"/>
            <w:vAlign w:val="top"/>
            <w:textDirection w:val="lrTb"/>
            <w:noWrap w:val="false"/>
          </w:tcPr>
          <w:p>
            <w:pPr>
              <w:pStyle w:val="1142"/>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1142"/>
              <w:jc w:val="center"/>
              <w:rPr>
                <w:sz w:val="20"/>
                <w:szCs w:val="20"/>
              </w:rPr>
            </w:pPr>
            <w:r>
              <w:rPr>
                <w:sz w:val="20"/>
                <w:szCs w:val="20"/>
              </w:rPr>
              <w:t xml:space="preserve">13.3.</w:t>
            </w:r>
            <w:r>
              <w:rPr>
                <w:sz w:val="20"/>
                <w:szCs w:val="20"/>
              </w:rPr>
            </w:r>
            <w:r>
              <w:rPr>
                <w:sz w:val="20"/>
                <w:szCs w:val="20"/>
              </w:rPr>
            </w:r>
          </w:p>
        </w:tc>
        <w:tc>
          <w:tcPr>
            <w:gridSpan w:val="3"/>
            <w:tcW w:w="8793" w:type="dxa"/>
            <w:vAlign w:val="center"/>
            <w:textDirection w:val="lrTb"/>
            <w:noWrap w:val="false"/>
          </w:tcPr>
          <w:p>
            <w:pPr>
              <w:pStyle w:val="1142"/>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jc w:val="center"/>
              <w:rPr>
                <w:sz w:val="20"/>
                <w:szCs w:val="20"/>
              </w:rPr>
            </w:pPr>
            <w:r>
              <w:rPr>
                <w:sz w:val="20"/>
                <w:szCs w:val="20"/>
              </w:rPr>
              <w:t xml:space="preserve">13.3.1.</w:t>
            </w:r>
            <w:r>
              <w:rPr>
                <w:sz w:val="20"/>
                <w:szCs w:val="20"/>
              </w:rPr>
            </w:r>
            <w:r>
              <w:rPr>
                <w:sz w:val="20"/>
                <w:szCs w:val="20"/>
              </w:rPr>
            </w:r>
          </w:p>
        </w:tc>
        <w:tc>
          <w:tcPr>
            <w:tcW w:w="3870" w:type="dxa"/>
            <w:vAlign w:val="center"/>
            <w:textDirection w:val="lrTb"/>
            <w:noWrap w:val="false"/>
          </w:tcPr>
          <w:p>
            <w:pPr>
              <w:pStyle w:val="1142"/>
              <w:jc w:val="center"/>
              <w:rPr>
                <w:sz w:val="20"/>
                <w:szCs w:val="20"/>
              </w:rPr>
            </w:pPr>
            <w:r>
              <w:rPr>
                <w:sz w:val="20"/>
                <w:szCs w:val="20"/>
              </w:rPr>
              <w:t xml:space="preserve">C использованием карты платежной системы МИР, международных платежных систем,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jc w:val="center"/>
              <w:rPr>
                <w:sz w:val="20"/>
                <w:szCs w:val="20"/>
              </w:rPr>
            </w:pPr>
            <w:r>
              <w:rPr>
                <w:sz w:val="20"/>
                <w:szCs w:val="20"/>
              </w:rPr>
              <w:t xml:space="preserve">13.3.2.</w:t>
            </w:r>
            <w:r>
              <w:rPr>
                <w:sz w:val="20"/>
                <w:szCs w:val="20"/>
              </w:rPr>
            </w:r>
            <w:r>
              <w:rPr>
                <w:sz w:val="20"/>
                <w:szCs w:val="20"/>
              </w:rPr>
            </w:r>
          </w:p>
        </w:tc>
        <w:tc>
          <w:tcPr>
            <w:tcW w:w="3870" w:type="dxa"/>
            <w:vAlign w:val="center"/>
            <w:textDirection w:val="lrTb"/>
            <w:noWrap w:val="false"/>
          </w:tcPr>
          <w:p>
            <w:pPr>
              <w:pStyle w:val="1142"/>
              <w:jc w:val="center"/>
              <w:rPr>
                <w:sz w:val="20"/>
                <w:szCs w:val="20"/>
              </w:rPr>
            </w:pPr>
            <w:r>
              <w:rPr>
                <w:sz w:val="20"/>
                <w:szCs w:val="20"/>
              </w:rPr>
              <w:t xml:space="preserve">C использованием карты платежной системы МИР, международных платежных систем, UnionPay, JCB, American Express, VISA и Mastercard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13.4.</w:t>
            </w:r>
            <w:r>
              <w:rPr>
                <w:sz w:val="20"/>
                <w:szCs w:val="20"/>
              </w:rPr>
            </w:r>
            <w:r>
              <w:rPr>
                <w:sz w:val="20"/>
                <w:szCs w:val="20"/>
              </w:rPr>
            </w:r>
          </w:p>
        </w:tc>
        <w:tc>
          <w:tcPr>
            <w:tcW w:w="3870" w:type="dxa"/>
            <w:vAlign w:val="top"/>
            <w:textDirection w:val="lrTb"/>
            <w:noWrap w:val="false"/>
          </w:tcPr>
          <w:p>
            <w:pPr>
              <w:pStyle w:val="1142"/>
              <w:ind w:left="72"/>
              <w:jc w:val="both"/>
              <w:spacing w:before="40" w:after="40"/>
              <w:rPr>
                <w:sz w:val="20"/>
                <w:szCs w:val="20"/>
              </w:rPr>
            </w:pPr>
            <w:r>
              <w:rPr>
                <w:sz w:val="20"/>
                <w:szCs w:val="20"/>
              </w:rPr>
              <w:t xml:space="preserve">C использованием карты, выпущенной </w:t>
              <w:br w:type="textWrapping" w:clear="all"/>
              <w:t xml:space="preserve">АО «Россельхозбанк» (МИР, UnionPay, JCB, VISA и Mastercard всех категорий)</w:t>
            </w:r>
            <w:r>
              <w:rPr>
                <w:sz w:val="20"/>
                <w:szCs w:val="20"/>
              </w:rPr>
            </w:r>
            <w:r>
              <w:rPr>
                <w:sz w:val="20"/>
                <w:szCs w:val="20"/>
              </w:rPr>
            </w:r>
          </w:p>
        </w:tc>
        <w:tc>
          <w:tcPr>
            <w:tcW w:w="2088" w:type="dxa"/>
            <w:vAlign w:val="top"/>
            <w:textDirection w:val="lrTb"/>
            <w:noWrap w:val="false"/>
          </w:tcPr>
          <w:p>
            <w:pPr>
              <w:pStyle w:val="1142"/>
              <w:ind w:left="72"/>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13.5.</w:t>
            </w:r>
            <w:r>
              <w:rPr>
                <w:sz w:val="20"/>
                <w:szCs w:val="20"/>
              </w:rPr>
            </w:r>
            <w:r>
              <w:rPr>
                <w:sz w:val="20"/>
                <w:szCs w:val="20"/>
              </w:rPr>
            </w:r>
          </w:p>
        </w:tc>
        <w:tc>
          <w:tcPr>
            <w:tcW w:w="3870" w:type="dxa"/>
            <w:vAlign w:val="top"/>
            <w:textDirection w:val="lrTb"/>
            <w:noWrap w:val="false"/>
          </w:tcPr>
          <w:p>
            <w:pPr>
              <w:pStyle w:val="1142"/>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1142"/>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13.5.1.</w:t>
            </w:r>
            <w:r>
              <w:rPr>
                <w:sz w:val="20"/>
                <w:szCs w:val="20"/>
              </w:rPr>
            </w:r>
            <w:r>
              <w:rPr>
                <w:sz w:val="20"/>
                <w:szCs w:val="20"/>
              </w:rPr>
            </w:r>
          </w:p>
        </w:tc>
        <w:tc>
          <w:tcPr>
            <w:tcW w:w="3870" w:type="dxa"/>
            <w:vAlign w:val="top"/>
            <w:textDirection w:val="lrTb"/>
            <w:noWrap w:val="false"/>
          </w:tcPr>
          <w:p>
            <w:pPr>
              <w:pStyle w:val="1142"/>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088" w:type="dxa"/>
            <w:vAlign w:val="top"/>
            <w:textDirection w:val="lrTb"/>
            <w:noWrap w:val="false"/>
          </w:tcPr>
          <w:p>
            <w:pPr>
              <w:pStyle w:val="1142"/>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13.5.1.1.</w:t>
            </w:r>
            <w:r>
              <w:rPr>
                <w:sz w:val="20"/>
                <w:szCs w:val="20"/>
              </w:rPr>
            </w:r>
            <w:r>
              <w:rPr>
                <w:sz w:val="20"/>
                <w:szCs w:val="20"/>
              </w:rPr>
            </w:r>
          </w:p>
        </w:tc>
        <w:tc>
          <w:tcPr>
            <w:tcW w:w="3870" w:type="dxa"/>
            <w:vAlign w:val="top"/>
            <w:textDirection w:val="lrTb"/>
            <w:noWrap w:val="false"/>
          </w:tcPr>
          <w:p>
            <w:pPr>
              <w:pStyle w:val="1142"/>
              <w:ind w:left="7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13.5.1.2.</w:t>
            </w:r>
            <w:r>
              <w:rPr>
                <w:sz w:val="20"/>
                <w:szCs w:val="20"/>
              </w:rPr>
            </w:r>
            <w:r>
              <w:rPr>
                <w:sz w:val="20"/>
                <w:szCs w:val="20"/>
              </w:rPr>
            </w:r>
          </w:p>
        </w:tc>
        <w:tc>
          <w:tcPr>
            <w:tcW w:w="3870" w:type="dxa"/>
            <w:vAlign w:val="top"/>
            <w:textDirection w:val="lrTb"/>
            <w:noWrap w:val="false"/>
          </w:tcPr>
          <w:p>
            <w:pPr>
              <w:pStyle w:val="1142"/>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13.5.1.3.</w:t>
            </w:r>
            <w:r>
              <w:rPr>
                <w:sz w:val="20"/>
                <w:szCs w:val="20"/>
              </w:rPr>
            </w:r>
            <w:r>
              <w:rPr>
                <w:sz w:val="20"/>
                <w:szCs w:val="20"/>
              </w:rPr>
            </w:r>
          </w:p>
        </w:tc>
        <w:tc>
          <w:tcPr>
            <w:tcW w:w="3870" w:type="dxa"/>
            <w:vAlign w:val="top"/>
            <w:textDirection w:val="lrTb"/>
            <w:noWrap w:val="false"/>
          </w:tcPr>
          <w:p>
            <w:pPr>
              <w:pStyle w:val="1142"/>
              <w:jc w:val="both"/>
              <w:keepLines/>
              <w:keepNext/>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088" w:type="dxa"/>
            <w:vAlign w:val="top"/>
            <w:textDirection w:val="lrTb"/>
            <w:noWrap w:val="false"/>
          </w:tcPr>
          <w:p>
            <w:pPr>
              <w:pStyle w:val="1142"/>
              <w:jc w:val="center"/>
              <w:keepLines/>
              <w:keepNext/>
              <w:rPr>
                <w:sz w:val="20"/>
                <w:szCs w:val="20"/>
              </w:rPr>
            </w:pPr>
            <w:r>
              <w:rPr>
                <w:sz w:val="20"/>
                <w:szCs w:val="20"/>
              </w:rPr>
              <w:t xml:space="preserve">0,70% от суммы операции, но не более </w:t>
            </w:r>
            <w:r>
              <w:rPr>
                <w:sz w:val="20"/>
                <w:szCs w:val="20"/>
              </w:rPr>
            </w:r>
            <w:r>
              <w:rPr>
                <w:sz w:val="20"/>
                <w:szCs w:val="20"/>
              </w:rPr>
            </w:r>
          </w:p>
          <w:p>
            <w:pPr>
              <w:pStyle w:val="1142"/>
              <w:ind w:left="72"/>
              <w:jc w:val="center"/>
              <w:spacing w:before="40" w:after="40"/>
              <w:rPr>
                <w:sz w:val="20"/>
                <w:szCs w:val="20"/>
              </w:rPr>
            </w:pPr>
            <w:r>
              <w:rPr>
                <w:sz w:val="20"/>
                <w:szCs w:val="20"/>
              </w:rPr>
              <w:t xml:space="preserve">1 500 руб. за операцию</w:t>
            </w:r>
            <w:r>
              <w:rPr>
                <w:sz w:val="20"/>
                <w:szCs w:val="20"/>
              </w:rPr>
            </w:r>
            <w:r>
              <w:rPr>
                <w:sz w:val="20"/>
                <w:szCs w:val="20"/>
              </w:rPr>
            </w:r>
          </w:p>
        </w:tc>
        <w:tc>
          <w:tcPr>
            <w:tcW w:w="2835" w:type="dxa"/>
            <w:vAlign w:val="top"/>
            <w:textDirection w:val="lrTb"/>
            <w:noWrap w:val="false"/>
          </w:tcPr>
          <w:p>
            <w:pPr>
              <w:pStyle w:val="1142"/>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13.5.2.</w:t>
            </w:r>
            <w:r>
              <w:rPr>
                <w:sz w:val="20"/>
                <w:szCs w:val="20"/>
              </w:rPr>
            </w:r>
            <w:r>
              <w:rPr>
                <w:sz w:val="20"/>
                <w:szCs w:val="20"/>
              </w:rPr>
            </w:r>
          </w:p>
        </w:tc>
        <w:tc>
          <w:tcPr>
            <w:tcW w:w="3870" w:type="dxa"/>
            <w:vAlign w:val="top"/>
            <w:textDirection w:val="lrTb"/>
            <w:noWrap w:val="false"/>
          </w:tcPr>
          <w:p>
            <w:pPr>
              <w:pStyle w:val="1142"/>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42"/>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1142"/>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1142"/>
              <w:ind w:left="72"/>
              <w:jc w:val="both"/>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1142"/>
              <w:ind w:left="72"/>
              <w:jc w:val="both"/>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1142"/>
              <w:jc w:val="center"/>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42"/>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1130" w:type="dxa"/>
            <w:vAlign w:val="top"/>
            <w:textDirection w:val="lrTb"/>
            <w:noWrap w:val="false"/>
          </w:tcPr>
          <w:p>
            <w:pPr>
              <w:pStyle w:val="1142"/>
              <w:ind w:left="72"/>
              <w:jc w:val="both"/>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70" w:type="dxa"/>
            <w:vAlign w:val="top"/>
            <w:textDirection w:val="lrTb"/>
            <w:noWrap w:val="false"/>
          </w:tcPr>
          <w:p>
            <w:pPr>
              <w:pStyle w:val="1142"/>
              <w:ind w:left="72"/>
              <w:jc w:val="both"/>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8" w:type="dxa"/>
            <w:vAlign w:val="top"/>
            <w:textDirection w:val="lrTb"/>
            <w:noWrap w:val="false"/>
          </w:tcPr>
          <w:p>
            <w:pPr>
              <w:pStyle w:val="1142"/>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1142"/>
              <w:rPr>
                <w:sz w:val="20"/>
                <w:szCs w:val="20"/>
              </w:rPr>
            </w:pPr>
            <w:r>
              <w:rPr>
                <w:sz w:val="20"/>
                <w:szCs w:val="20"/>
              </w:rPr>
            </w:r>
            <w:r>
              <w:rPr>
                <w:sz w:val="20"/>
                <w:szCs w:val="20"/>
              </w:rPr>
            </w:r>
            <w:r>
              <w:rPr>
                <w:sz w:val="20"/>
                <w:szCs w:val="20"/>
              </w:rPr>
            </w:r>
          </w:p>
        </w:tc>
      </w:tr>
    </w:tbl>
    <w:p>
      <w:pPr>
        <w:pStyle w:val="1142"/>
        <w:rPr>
          <w:i/>
          <w:sz w:val="20"/>
          <w:szCs w:val="20"/>
        </w:rPr>
      </w:pPr>
      <w:r>
        <w:rPr>
          <w:i/>
          <w:sz w:val="20"/>
          <w:szCs w:val="20"/>
        </w:rPr>
      </w:r>
      <w:r>
        <w:rPr>
          <w:i/>
          <w:sz w:val="20"/>
          <w:szCs w:val="20"/>
        </w:rPr>
      </w:r>
      <w:r>
        <w:rPr>
          <w:i/>
          <w:sz w:val="20"/>
          <w:szCs w:val="20"/>
        </w:rPr>
      </w:r>
    </w:p>
    <w:p>
      <w:pPr>
        <w:pStyle w:val="1142"/>
        <w:rPr>
          <w:i/>
          <w:sz w:val="20"/>
          <w:szCs w:val="20"/>
        </w:rPr>
      </w:pPr>
      <w:r>
        <w:rPr>
          <w:i/>
          <w:sz w:val="20"/>
          <w:szCs w:val="20"/>
        </w:rPr>
      </w:r>
      <w:r>
        <w:rPr>
          <w:i/>
          <w:sz w:val="20"/>
          <w:szCs w:val="20"/>
        </w:rPr>
      </w:r>
      <w:r>
        <w:rPr>
          <w:i/>
          <w:sz w:val="20"/>
          <w:szCs w:val="20"/>
        </w:rPr>
      </w:r>
    </w:p>
    <w:p>
      <w:pPr>
        <w:pStyle w:val="1142"/>
        <w:rPr>
          <w:sz w:val="20"/>
          <w:szCs w:val="20"/>
        </w:rPr>
      </w:pPr>
      <w:r>
        <w:rPr>
          <w:i/>
          <w:sz w:val="20"/>
          <w:szCs w:val="20"/>
        </w:rPr>
        <w:t xml:space="preserve">Примечание:</w:t>
      </w:r>
      <w:r>
        <w:rPr>
          <w:i/>
          <w:sz w:val="20"/>
          <w:szCs w:val="20"/>
        </w:rPr>
        <w:t xml:space="preserve"> </w:t>
      </w:r>
      <w:r>
        <w:rPr>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r>
      <w:r>
        <w:rPr>
          <w:sz w:val="20"/>
          <w:szCs w:val="20"/>
        </w:rPr>
      </w:r>
    </w:p>
    <w:p>
      <w:pPr>
        <w:pStyle w:val="1142"/>
      </w:pPr>
      <w:r/>
      <w:r/>
    </w:p>
    <w:p>
      <w:pPr>
        <w:pStyle w:val="1142"/>
        <w:rPr>
          <w:i/>
          <w:sz w:val="20"/>
          <w:szCs w:val="20"/>
        </w:rPr>
      </w:pPr>
      <w:r>
        <w:rPr>
          <w:i/>
          <w:sz w:val="20"/>
          <w:szCs w:val="20"/>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w:t>
      </w:r>
      <w:r>
        <w:rPr>
          <w:i/>
          <w:sz w:val="20"/>
          <w:szCs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20"/>
          <w:szCs w:val="20"/>
        </w:rPr>
      </w:r>
      <w:r>
        <w:rPr>
          <w:i/>
          <w:sz w:val="20"/>
          <w:szCs w:val="20"/>
        </w:rPr>
      </w:r>
    </w:p>
    <w:p>
      <w:pPr>
        <w:pStyle w:val="1142"/>
        <w:rPr>
          <w:i/>
          <w:sz w:val="20"/>
          <w:szCs w:val="20"/>
        </w:rPr>
      </w:pPr>
      <w:r>
        <w:rPr>
          <w:i/>
          <w:sz w:val="20"/>
          <w:szCs w:val="20"/>
        </w:rPr>
      </w:r>
      <w:r>
        <w:rPr>
          <w:i/>
          <w:sz w:val="20"/>
          <w:szCs w:val="20"/>
        </w:rPr>
      </w:r>
      <w:r>
        <w:rPr>
          <w:i/>
          <w:sz w:val="20"/>
          <w:szCs w:val="20"/>
        </w:rPr>
      </w:r>
    </w:p>
    <w:p>
      <w:pPr>
        <w:pStyle w:val="1142"/>
      </w:pPr>
      <w:r/>
      <w:r/>
    </w:p>
    <w:p>
      <w:pPr>
        <w:pStyle w:val="1146"/>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1142"/>
        <w:rPr>
          <w:lang w:val="en-US" w:eastAsia="en-US"/>
        </w:rPr>
      </w:pPr>
      <w:r>
        <w:rPr>
          <w:lang w:val="en-US" w:eastAsia="en-US"/>
        </w:rPr>
      </w: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42"/>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2"/>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tcW w:w="2976" w:type="dxa"/>
            <w:vAlign w:val="top"/>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2 000 руб., </w:t>
            </w:r>
            <w:r>
              <w:rPr>
                <w:sz w:val="20"/>
                <w:szCs w:val="20"/>
              </w:rPr>
            </w:r>
            <w:r>
              <w:rPr>
                <w:sz w:val="20"/>
                <w:szCs w:val="20"/>
              </w:rPr>
            </w:r>
          </w:p>
          <w:p>
            <w:pPr>
              <w:pStyle w:val="1142"/>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1142"/>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1985" w:type="dxa"/>
            <w:vAlign w:val="top"/>
            <w:textDirection w:val="lrTb"/>
            <w:noWrap w:val="false"/>
          </w:tcPr>
          <w:p>
            <w:pPr>
              <w:pStyle w:val="1142"/>
              <w:rPr>
                <w:sz w:val="20"/>
                <w:szCs w:val="20"/>
              </w:rPr>
            </w:pPr>
            <w:r>
              <w:rPr>
                <w:sz w:val="20"/>
                <w:szCs w:val="20"/>
              </w:rPr>
              <w:t xml:space="preserve">1 000 руб. за каждый раздел</w:t>
            </w:r>
            <w:r>
              <w:rPr>
                <w:sz w:val="20"/>
                <w:szCs w:val="20"/>
              </w:rPr>
            </w:r>
            <w:r>
              <w:rPr>
                <w:sz w:val="20"/>
                <w:szCs w:val="20"/>
              </w:rPr>
            </w:r>
          </w:p>
        </w:tc>
        <w:tc>
          <w:tcPr>
            <w:tcW w:w="2976" w:type="dxa"/>
            <w:vAlign w:val="top"/>
            <w:textDirection w:val="lrTb"/>
            <w:noWrap w:val="false"/>
          </w:tcPr>
          <w:p>
            <w:pPr>
              <w:pStyle w:val="1142"/>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2"/>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42"/>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42"/>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20 000 руб.</w:t>
            </w:r>
            <w:r>
              <w:rPr>
                <w:sz w:val="20"/>
                <w:szCs w:val="20"/>
              </w:rPr>
            </w:r>
            <w:r>
              <w:rPr>
                <w:sz w:val="20"/>
                <w:szCs w:val="20"/>
              </w:rPr>
            </w:r>
          </w:p>
        </w:tc>
        <w:tc>
          <w:tcPr>
            <w:tcW w:w="2976" w:type="dxa"/>
            <w:vAlign w:val="top"/>
            <w:textDirection w:val="lrTb"/>
            <w:noWrap w:val="false"/>
          </w:tcPr>
          <w:p>
            <w:pPr>
              <w:pStyle w:val="1142"/>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2"/>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42"/>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42"/>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88"/>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88"/>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42"/>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88"/>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r>
              <w:rPr>
                <w:rFonts w:eastAsia="Times New Roman"/>
                <w:color w:val="000000"/>
                <w:sz w:val="20"/>
                <w:szCs w:val="20"/>
              </w:rPr>
            </w:r>
          </w:p>
          <w:p>
            <w:pPr>
              <w:pStyle w:val="1188"/>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r>
              <w:rPr>
                <w:bCs/>
                <w:sz w:val="22"/>
                <w:szCs w:val="22"/>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8930"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9"/>
            </w:r>
            <w:r>
              <w:rPr>
                <w:rFonts w:eastAsia="Times New Roman"/>
                <w:color w:val="000000"/>
                <w:sz w:val="20"/>
                <w:szCs w:val="20"/>
              </w:rPr>
              <w:t xml:space="preserve"> ценных бумаг (млрд. руб.)</w:t>
            </w:r>
            <w:r>
              <w:rPr>
                <w:rFonts w:eastAsia="Times New Roman"/>
                <w:color w:val="000000"/>
                <w:sz w:val="20"/>
                <w:szCs w:val="20"/>
              </w:rPr>
            </w:r>
            <w:r>
              <w:rPr>
                <w:rFonts w:eastAsia="Times New Roman"/>
                <w:color w:val="000000"/>
                <w:sz w:val="20"/>
                <w:szCs w:val="20"/>
              </w:rPr>
            </w:r>
          </w:p>
        </w:tc>
        <w:tc>
          <w:tcPr>
            <w:tcW w:w="993"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r>
              <w:rPr>
                <w:rFonts w:eastAsia="Times New Roman"/>
                <w:color w:val="000000"/>
                <w:sz w:val="20"/>
                <w:szCs w:val="20"/>
              </w:rPr>
            </w:r>
          </w:p>
          <w:p>
            <w:pPr>
              <w:pStyle w:val="1188"/>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1142"/>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1142"/>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42"/>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2976" w:type="dxa"/>
            <w:vAlign w:val="top"/>
            <w:vMerge w:val="restart"/>
            <w:textDirection w:val="lrTb"/>
            <w:noWrap w:val="false"/>
          </w:tcPr>
          <w:p>
            <w:pPr>
              <w:pStyle w:val="1142"/>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42"/>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42"/>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42"/>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42"/>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42"/>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от 20 до 50</w:t>
            </w:r>
            <w:r>
              <w:rPr>
                <w:sz w:val="20"/>
                <w:szCs w:val="20"/>
              </w:rPr>
            </w:r>
            <w:r>
              <w:rPr>
                <w:sz w:val="20"/>
                <w:szCs w:val="20"/>
              </w:rPr>
            </w:r>
          </w:p>
        </w:tc>
        <w:tc>
          <w:tcPr>
            <w:tcW w:w="993" w:type="dxa"/>
            <w:vAlign w:val="top"/>
            <w:textDirection w:val="lrTb"/>
            <w:noWrap w:val="false"/>
          </w:tcPr>
          <w:p>
            <w:pPr>
              <w:pStyle w:val="1142"/>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42"/>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1142"/>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969" w:type="dxa"/>
            <w:vAlign w:val="top"/>
            <w:vMerge w:val="restart"/>
            <w:textDirection w:val="lrTb"/>
            <w:noWrap w:val="false"/>
          </w:tcPr>
          <w:p>
            <w:pPr>
              <w:pStyle w:val="1142"/>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42"/>
              <w:jc w:val="center"/>
              <w:spacing w:before="40" w:after="40"/>
              <w:rPr>
                <w:sz w:val="20"/>
                <w:szCs w:val="20"/>
              </w:rPr>
            </w:pPr>
            <w:r>
              <w:rPr>
                <w:sz w:val="20"/>
                <w:szCs w:val="20"/>
              </w:rPr>
              <w:t xml:space="preserve">0,019% минимум 30 руб. в месяц</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42"/>
              <w:jc w:val="center"/>
              <w:spacing w:before="40" w:after="40"/>
              <w:rPr>
                <w:sz w:val="20"/>
                <w:szCs w:val="20"/>
              </w:rPr>
            </w:pPr>
            <w:r>
              <w:rPr>
                <w:sz w:val="20"/>
                <w:szCs w:val="20"/>
              </w:rPr>
              <w:t xml:space="preserve">0,014%</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42"/>
              <w:jc w:val="center"/>
              <w:spacing w:before="40" w:after="40"/>
              <w:rPr>
                <w:sz w:val="20"/>
                <w:szCs w:val="20"/>
              </w:rPr>
            </w:pPr>
            <w:r>
              <w:rPr>
                <w:sz w:val="20"/>
                <w:szCs w:val="20"/>
              </w:rPr>
              <w:t xml:space="preserve">0,013%</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42"/>
              <w:jc w:val="center"/>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42"/>
              <w:jc w:val="center"/>
              <w:spacing w:before="40" w:after="40"/>
              <w:rPr>
                <w:sz w:val="20"/>
                <w:szCs w:val="20"/>
              </w:rPr>
            </w:pPr>
            <w:r>
              <w:rPr>
                <w:sz w:val="20"/>
                <w:szCs w:val="20"/>
              </w:rPr>
              <w:t xml:space="preserve">0,01%</w:t>
            </w:r>
            <w:r>
              <w:rPr>
                <w:sz w:val="20"/>
                <w:szCs w:val="20"/>
              </w:rPr>
            </w:r>
            <w:r>
              <w:rPr>
                <w:sz w:val="20"/>
                <w:szCs w:val="20"/>
              </w:rPr>
            </w:r>
          </w:p>
        </w:tc>
        <w:tc>
          <w:tcPr>
            <w:tcW w:w="2976" w:type="dxa"/>
            <w:vAlign w:val="top"/>
            <w:vMerge w:val="continue"/>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2"/>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2"/>
              <w:jc w:val="center"/>
              <w:spacing w:before="40" w:after="40"/>
              <w:rPr>
                <w:sz w:val="20"/>
                <w:szCs w:val="20"/>
              </w:rPr>
            </w:pPr>
            <w:r>
              <w:rPr>
                <w:sz w:val="20"/>
                <w:szCs w:val="20"/>
              </w:rPr>
              <w:t xml:space="preserve">0,035% годовых минимум 30 руб. в месяц</w:t>
            </w:r>
            <w:r>
              <w:rPr>
                <w:sz w:val="20"/>
                <w:szCs w:val="20"/>
              </w:rPr>
            </w:r>
            <w:r>
              <w:rPr>
                <w:sz w:val="20"/>
                <w:szCs w:val="20"/>
              </w:rPr>
            </w:r>
          </w:p>
        </w:tc>
        <w:tc>
          <w:tcPr>
            <w:tcW w:w="2976" w:type="dxa"/>
            <w:vAlign w:val="top"/>
            <w:textDirection w:val="lrTb"/>
            <w:noWrap w:val="false"/>
          </w:tcPr>
          <w:p>
            <w:pPr>
              <w:pStyle w:val="1142"/>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2"/>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2"/>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1142"/>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42"/>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42"/>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1142"/>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42"/>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42"/>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4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42"/>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42"/>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42"/>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1985" w:type="dxa"/>
            <w:vAlign w:val="top"/>
            <w:textDirection w:val="lrTb"/>
            <w:noWrap w:val="false"/>
          </w:tcPr>
          <w:p>
            <w:pPr>
              <w:pStyle w:val="1188"/>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1188"/>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1188"/>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88"/>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88"/>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p>
            <w:pPr>
              <w:pStyle w:val="1142"/>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W w:w="1985" w:type="dxa"/>
            <w:vAlign w:val="top"/>
            <w:textDirection w:val="lrTb"/>
            <w:noWrap w:val="false"/>
          </w:tcPr>
          <w:p>
            <w:pPr>
              <w:pStyle w:val="1142"/>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42"/>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42"/>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1142"/>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none" w:color="000000" w:sz="4" w:space="0"/>
            </w:tcBorders>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2"/>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2"/>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2"/>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2"/>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2"/>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2"/>
              <w:jc w:val="center"/>
              <w:spacing w:before="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10 000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42"/>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500 руб.</w:t>
            </w:r>
            <w:r>
              <w:rPr>
                <w:sz w:val="20"/>
                <w:szCs w:val="20"/>
              </w:rPr>
            </w:r>
            <w:r>
              <w:rPr>
                <w:sz w:val="20"/>
                <w:szCs w:val="20"/>
              </w:rPr>
            </w:r>
          </w:p>
          <w:p>
            <w:pPr>
              <w:pStyle w:val="1142"/>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1 000 руб.</w:t>
            </w:r>
            <w:r>
              <w:rPr>
                <w:sz w:val="20"/>
                <w:szCs w:val="20"/>
              </w:rPr>
            </w:r>
            <w:r>
              <w:rPr>
                <w:sz w:val="20"/>
                <w:szCs w:val="20"/>
              </w:rPr>
            </w:r>
          </w:p>
          <w:p>
            <w:pPr>
              <w:pStyle w:val="1142"/>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2"/>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2"/>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42"/>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2"/>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88"/>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r>
              <w:rPr>
                <w:rFonts w:eastAsia="Times New Roman"/>
                <w:color w:val="000000"/>
                <w:sz w:val="20"/>
                <w:szCs w:val="20"/>
              </w:rPr>
            </w:r>
          </w:p>
          <w:p>
            <w:pPr>
              <w:pStyle w:val="1188"/>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1142"/>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88"/>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300 руб.</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42"/>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1142"/>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1 000 руб.</w:t>
            </w:r>
            <w:r>
              <w:rPr>
                <w:sz w:val="20"/>
                <w:szCs w:val="20"/>
              </w:rPr>
            </w:r>
            <w:r>
              <w:rPr>
                <w:sz w:val="20"/>
                <w:szCs w:val="20"/>
              </w:rPr>
            </w:r>
          </w:p>
        </w:tc>
        <w:tc>
          <w:tcPr>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42"/>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42"/>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5" w:type="dxa"/>
            <w:vAlign w:val="top"/>
            <w:textDirection w:val="lrTb"/>
            <w:noWrap w:val="false"/>
          </w:tcPr>
          <w:p>
            <w:pPr>
              <w:pStyle w:val="1142"/>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1 000 руб.</w:t>
            </w:r>
            <w:r>
              <w:rPr>
                <w:sz w:val="20"/>
                <w:szCs w:val="20"/>
              </w:rPr>
            </w:r>
            <w:r>
              <w:rPr>
                <w:sz w:val="20"/>
                <w:szCs w:val="20"/>
              </w:rPr>
            </w:r>
          </w:p>
        </w:tc>
        <w:tc>
          <w:tcPr>
            <w:tcBorders>
              <w:top w:val="none" w:color="000000" w:sz="4" w:space="0"/>
              <w:bottom w:val="singl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142"/>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42"/>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2"/>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2"/>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2"/>
              <w:jc w:val="both"/>
              <w:spacing w:before="40" w:after="4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3 000 руб.</w:t>
            </w:r>
            <w:r>
              <w:rPr>
                <w:sz w:val="20"/>
                <w:szCs w:val="20"/>
              </w:rPr>
            </w:r>
            <w:r>
              <w:rPr>
                <w:sz w:val="20"/>
                <w:szCs w:val="20"/>
              </w:rPr>
            </w:r>
          </w:p>
        </w:tc>
        <w:tc>
          <w:tcPr>
            <w:tcW w:w="2976" w:type="dxa"/>
            <w:vAlign w:val="top"/>
            <w:textDirection w:val="lrTb"/>
            <w:noWrap w:val="false"/>
          </w:tcPr>
          <w:p>
            <w:pPr>
              <w:pStyle w:val="1142"/>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42"/>
              <w:jc w:val="center"/>
              <w:spacing w:before="40" w:after="40"/>
              <w:rPr>
                <w:bCs/>
                <w:sz w:val="22"/>
                <w:szCs w:val="22"/>
              </w:rPr>
            </w:pPr>
            <w:r>
              <w:rPr>
                <w:bCs/>
                <w:sz w:val="22"/>
                <w:szCs w:val="22"/>
              </w:rPr>
              <w:t xml:space="preserve">14.8.6.</w:t>
            </w:r>
            <w:r>
              <w:rPr>
                <w:bCs/>
                <w:sz w:val="22"/>
                <w:szCs w:val="22"/>
              </w:rPr>
            </w:r>
            <w:r>
              <w:rPr>
                <w:bCs/>
                <w:sz w:val="22"/>
                <w:szCs w:val="22"/>
              </w:rPr>
            </w:r>
          </w:p>
        </w:tc>
        <w:tc>
          <w:tcPr>
            <w:tcW w:w="3969" w:type="dxa"/>
            <w:vAlign w:val="top"/>
            <w:textDirection w:val="lrTb"/>
            <w:noWrap w:val="false"/>
          </w:tcPr>
          <w:p>
            <w:pPr>
              <w:pStyle w:val="1142"/>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5" w:type="dxa"/>
            <w:vAlign w:val="top"/>
            <w:textDirection w:val="lrTb"/>
            <w:noWrap w:val="false"/>
          </w:tcPr>
          <w:p>
            <w:pPr>
              <w:pStyle w:val="1142"/>
              <w:jc w:val="center"/>
              <w:spacing w:before="40" w:after="40"/>
              <w:rPr>
                <w:sz w:val="20"/>
                <w:szCs w:val="20"/>
              </w:rPr>
            </w:pPr>
            <w:r>
              <w:rPr>
                <w:sz w:val="20"/>
                <w:szCs w:val="20"/>
              </w:rPr>
              <w:t xml:space="preserve">100 руб. за лист</w:t>
            </w:r>
            <w:r>
              <w:rPr>
                <w:sz w:val="20"/>
                <w:szCs w:val="20"/>
              </w:rPr>
            </w:r>
            <w:r>
              <w:rPr>
                <w:sz w:val="20"/>
                <w:szCs w:val="20"/>
              </w:rPr>
            </w:r>
          </w:p>
        </w:tc>
        <w:tc>
          <w:tcPr>
            <w:tcW w:w="2976" w:type="dxa"/>
            <w:vAlign w:val="top"/>
            <w:textDirection w:val="lrTb"/>
            <w:noWrap w:val="false"/>
          </w:tcPr>
          <w:p>
            <w:pPr>
              <w:pStyle w:val="1142"/>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bl>
    <w:p>
      <w:pPr>
        <w:pStyle w:val="1142"/>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42"/>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1142"/>
        <w:rPr>
          <w:i/>
          <w:sz w:val="16"/>
          <w:szCs w:val="16"/>
        </w:rPr>
      </w:pPr>
      <w:r>
        <w:rPr>
          <w:i/>
          <w:sz w:val="16"/>
          <w:szCs w:val="16"/>
        </w:rPr>
      </w:r>
      <w:r>
        <w:rPr>
          <w:i/>
          <w:sz w:val="16"/>
          <w:szCs w:val="16"/>
        </w:rPr>
      </w:r>
      <w:r>
        <w:rPr>
          <w:i/>
          <w:sz w:val="16"/>
          <w:szCs w:val="16"/>
        </w:rPr>
      </w:r>
    </w:p>
    <w:p>
      <w:pPr>
        <w:pStyle w:val="1146"/>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42"/>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1142"/>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42"/>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1142"/>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142"/>
              <w:jc w:val="both"/>
              <w:spacing w:before="40"/>
              <w:tabs>
                <w:tab w:val="center" w:pos="1260" w:leader="none"/>
                <w:tab w:val="right" w:pos="9355" w:leader="none"/>
              </w:tabs>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42"/>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42"/>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42"/>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42"/>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42"/>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42"/>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42"/>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42"/>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42"/>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42"/>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42"/>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r>
              <w:rPr>
                <w:sz w:val="20"/>
                <w:szCs w:val="20"/>
              </w:rPr>
            </w:r>
          </w:p>
        </w:tc>
        <w:tc>
          <w:tcPr>
            <w:tcBorders>
              <w:bottom w:val="single" w:color="000000" w:sz="4" w:space="0"/>
            </w:tcBorders>
            <w:tcW w:w="3118" w:type="dxa"/>
            <w:vAlign w:val="top"/>
            <w:textDirection w:val="lrTb"/>
            <w:noWrap w:val="false"/>
          </w:tcPr>
          <w:p>
            <w:pPr>
              <w:pStyle w:val="1142"/>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r>
              <w:rPr>
                <w:sz w:val="20"/>
                <w:szCs w:val="20"/>
              </w:rPr>
            </w:r>
          </w:p>
        </w:tc>
      </w:tr>
    </w:tbl>
    <w:p>
      <w:pPr>
        <w:pStyle w:val="1146"/>
        <w:rPr>
          <w:lang w:val="ru-RU"/>
        </w:rPr>
      </w:pPr>
      <w:r>
        <w:t xml:space="preserve">16. Операции с драгоценными металлами</w:t>
      </w:r>
      <w:r>
        <w:rPr>
          <w:lang w:val="ru-RU"/>
        </w:rPr>
      </w:r>
      <w:r>
        <w:rPr>
          <w:lang w:val="ru-RU"/>
        </w:rPr>
      </w:r>
    </w:p>
    <w:p>
      <w:pPr>
        <w:pStyle w:val="1142"/>
        <w:rPr>
          <w:lang w:eastAsia="en-US"/>
        </w:rPr>
      </w:pPr>
      <w:r>
        <w:rPr>
          <w:lang w:eastAsia="en-US"/>
        </w:rPr>
      </w: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1142"/>
              <w:jc w:val="center"/>
              <w:rPr>
                <w:b/>
                <w:sz w:val="20"/>
                <w:szCs w:val="20"/>
              </w:rPr>
            </w:pPr>
            <w:r>
              <w:rPr>
                <w:b/>
                <w:sz w:val="20"/>
                <w:szCs w:val="20"/>
              </w:rPr>
              <w:t xml:space="preserve">№</w:t>
            </w:r>
            <w:r>
              <w:rPr>
                <w:b/>
                <w:sz w:val="20"/>
                <w:szCs w:val="20"/>
              </w:rPr>
            </w:r>
            <w:r>
              <w:rPr>
                <w:b/>
                <w:sz w:val="20"/>
                <w:szCs w:val="20"/>
              </w:rPr>
            </w:r>
          </w:p>
          <w:p>
            <w:pPr>
              <w:pStyle w:val="1142"/>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42"/>
              <w:jc w:val="center"/>
              <w:rPr>
                <w:b/>
                <w:sz w:val="20"/>
                <w:szCs w:val="20"/>
              </w:rPr>
            </w:pPr>
            <w:r>
              <w:rPr>
                <w:b/>
                <w:sz w:val="20"/>
                <w:szCs w:val="20"/>
              </w:rPr>
              <w:t xml:space="preserve">Наименование услуги</w:t>
            </w:r>
            <w:r>
              <w:rPr>
                <w:b/>
                <w:sz w:val="20"/>
                <w:szCs w:val="20"/>
              </w:rPr>
            </w:r>
            <w:r>
              <w:rPr>
                <w:b/>
                <w:sz w:val="20"/>
                <w:szCs w:val="20"/>
              </w:rPr>
            </w:r>
          </w:p>
        </w:tc>
        <w:tc>
          <w:tcPr>
            <w:tcW w:w="3827" w:type="dxa"/>
            <w:vAlign w:val="center"/>
            <w:textDirection w:val="lrTb"/>
            <w:noWrap w:val="false"/>
          </w:tcPr>
          <w:p>
            <w:pPr>
              <w:pStyle w:val="1142"/>
              <w:jc w:val="center"/>
              <w:rPr>
                <w:b/>
                <w:sz w:val="20"/>
                <w:szCs w:val="20"/>
              </w:rPr>
            </w:pPr>
            <w:r>
              <w:rPr>
                <w:b/>
                <w:sz w:val="20"/>
                <w:szCs w:val="20"/>
              </w:rPr>
              <w:t xml:space="preserve">Тариф</w:t>
            </w:r>
            <w:r>
              <w:rPr>
                <w:b/>
                <w:sz w:val="20"/>
                <w:szCs w:val="20"/>
              </w:rPr>
            </w:r>
            <w:r>
              <w:rPr>
                <w:b/>
                <w:sz w:val="20"/>
                <w:szCs w:val="20"/>
              </w:rPr>
            </w:r>
          </w:p>
        </w:tc>
        <w:tc>
          <w:tcPr>
            <w:tcW w:w="1276" w:type="dxa"/>
            <w:vAlign w:val="center"/>
            <w:vMerge w:val="restart"/>
            <w:textDirection w:val="lrTb"/>
            <w:noWrap w:val="false"/>
          </w:tcPr>
          <w:p>
            <w:pPr>
              <w:pStyle w:val="1142"/>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42"/>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42"/>
              <w:jc w:val="center"/>
              <w:rPr>
                <w:b/>
                <w:sz w:val="20"/>
                <w:szCs w:val="20"/>
              </w:rPr>
            </w:pPr>
            <w:r>
              <w:rPr>
                <w:b/>
                <w:sz w:val="20"/>
                <w:szCs w:val="20"/>
              </w:rPr>
            </w:r>
            <w:r>
              <w:rPr>
                <w:b/>
                <w:sz w:val="20"/>
                <w:szCs w:val="20"/>
              </w:rPr>
            </w:r>
            <w:r>
              <w:rPr>
                <w:b/>
                <w:sz w:val="20"/>
                <w:szCs w:val="20"/>
              </w:rPr>
            </w:r>
          </w:p>
        </w:tc>
        <w:tc>
          <w:tcPr>
            <w:tcW w:w="3827" w:type="dxa"/>
            <w:vAlign w:val="center"/>
            <w:textDirection w:val="lrTb"/>
            <w:noWrap w:val="false"/>
          </w:tcPr>
          <w:p>
            <w:pPr>
              <w:pStyle w:val="1142"/>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1142"/>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1187"/>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87"/>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4"/>
            <w:tcW w:w="8930" w:type="dxa"/>
            <w:vAlign w:val="top"/>
            <w:textDirection w:val="lrTb"/>
            <w:noWrap w:val="false"/>
          </w:tcPr>
          <w:p>
            <w:pPr>
              <w:pStyle w:val="1187"/>
              <w:jc w:val="both"/>
              <w:spacing w:before="120" w:after="12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банковским счетам в драгоценных металлах</w:t>
            </w:r>
            <w:r>
              <w:rPr>
                <w:rStyle w:val="1174"/>
                <w:i/>
                <w:iCs/>
                <w:smallCaps/>
                <w:sz w:val="20"/>
                <w:szCs w:val="20"/>
              </w:rPr>
              <w:footnoteReference w:id="10"/>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74"/>
                <w:rFonts w:ascii="Times New Roman" w:hAnsi="Times New Roman" w:cs="Times New Roman"/>
                <w:i/>
                <w:iCs/>
                <w:smallCaps/>
                <w:sz w:val="20"/>
                <w:szCs w:val="20"/>
              </w:rPr>
              <w:footnoteReference w:id="11"/>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spacing w:before="20"/>
                    <w:tabs>
                      <w:tab w:val="left" w:pos="58"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lang w:val="en-US"/>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lang w:val="en-US"/>
                    </w:rPr>
                  </w:r>
                  <w:r>
                    <w:rPr>
                      <w:rFonts w:ascii="Times New Roman" w:hAnsi="Times New Roman" w:cs="Times New Roman"/>
                      <w:b w:val="0"/>
                      <w:bCs w:val="0"/>
                      <w:i w:val="0"/>
                      <w:iCs w:val="0"/>
                      <w:smallCaps w:val="0"/>
                      <w:sz w:val="20"/>
                      <w:szCs w:val="20"/>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left w:val="single" w:color="000000" w:sz="4" w:space="0"/>
            </w:tcBorders>
            <w:tcW w:w="184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2"/>
            <w:tcW w:w="3827"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w:t>
            </w:r>
            <w:r>
              <w:rPr>
                <w:rFonts w:ascii="Times New Roman" w:hAnsi="Times New Roman" w:cs="Times New Roman"/>
                <w:b w:val="0"/>
                <w:bCs w:val="0"/>
                <w:i w:val="0"/>
                <w:iCs w:val="0"/>
                <w:smallCaps w:val="0"/>
                <w:sz w:val="20"/>
                <w:szCs w:val="20"/>
                <w:lang w:val="en-US"/>
              </w:rPr>
              <w:t xml:space="preserve">              </w:t>
            </w:r>
            <w:r>
              <w:rPr>
                <w:rFonts w:ascii="Times New Roman" w:hAnsi="Times New Roman" w:cs="Times New Roman"/>
                <w:b w:val="0"/>
                <w:bCs w:val="0"/>
                <w:i w:val="0"/>
                <w:iCs w:val="0"/>
                <w:smallCaps w:val="0"/>
                <w:sz w:val="20"/>
                <w:szCs w:val="20"/>
              </w:rPr>
              <w:t xml:space="preserve">драгоценного металла</w:t>
            </w:r>
            <w:r>
              <w:rPr>
                <w:rStyle w:val="1174"/>
                <w:rFonts w:ascii="Times New Roman" w:hAnsi="Times New Roman" w:cs="Times New Roman"/>
                <w:i/>
                <w:iCs/>
                <w:smallCaps/>
                <w:sz w:val="20"/>
                <w:szCs w:val="20"/>
              </w:rPr>
              <w:footnoteReference w:id="12"/>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87"/>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843" w:type="dxa"/>
            <w:vAlign w:val="top"/>
            <w:textDirection w:val="lrTb"/>
            <w:noWrap w:val="false"/>
          </w:tcPr>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за слиток (руб.)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1 100,00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1 200,00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1 900,00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2"/>
                <w:szCs w:val="20"/>
              </w:rPr>
            </w:pPr>
            <w:r>
              <w:rPr>
                <w:rFonts w:ascii="Times New Roman" w:hAnsi="Times New Roman" w:cs="Times New Roman"/>
                <w:b w:val="0"/>
                <w:bCs w:val="0"/>
                <w:i w:val="0"/>
                <w:iCs w:val="0"/>
                <w:smallCaps w:val="0"/>
                <w:sz w:val="22"/>
                <w:szCs w:val="20"/>
              </w:rPr>
              <w:t xml:space="preserve">2 300,00</w:t>
            </w:r>
            <w:r>
              <w:rPr>
                <w:rFonts w:ascii="Times New Roman" w:hAnsi="Times New Roman" w:cs="Times New Roman"/>
                <w:b w:val="0"/>
                <w:bCs w:val="0"/>
                <w:i w:val="0"/>
                <w:iCs w:val="0"/>
                <w:smallCaps w:val="0"/>
                <w:sz w:val="22"/>
                <w:szCs w:val="20"/>
              </w:rPr>
            </w:r>
            <w:r>
              <w:rPr>
                <w:rFonts w:ascii="Times New Roman" w:hAnsi="Times New Roman" w:cs="Times New Roman"/>
                <w:b w:val="0"/>
                <w:bCs w:val="0"/>
                <w:i w:val="0"/>
                <w:iCs w:val="0"/>
                <w:smallCaps w:val="0"/>
                <w:sz w:val="22"/>
                <w:szCs w:val="20"/>
              </w:rPr>
            </w:r>
          </w:p>
          <w:p>
            <w:pPr>
              <w:pStyle w:val="1187"/>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2"/>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87"/>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42"/>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2"/>
        <w:rPr>
          <w:lang w:val="en-US" w:eastAsia="en-US"/>
        </w:rPr>
      </w:pPr>
      <w:r>
        <w:rPr>
          <w:lang w:val="en-US" w:eastAsia="en-US"/>
        </w:rPr>
      </w:r>
      <w:r>
        <w:rPr>
          <w:lang w:val="en-US" w:eastAsia="en-US"/>
        </w:rPr>
      </w:r>
      <w:r>
        <w:rPr>
          <w:lang w:val="en-US" w:eastAsia="en-US"/>
        </w:rPr>
      </w:r>
    </w:p>
    <w:p>
      <w:pPr>
        <w:pStyle w:val="1146"/>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1142"/>
        <w:rPr>
          <w:lang w:val="en-US" w:eastAsia="en-US"/>
        </w:rPr>
      </w:pPr>
      <w:r>
        <w:rPr>
          <w:lang w:val="en-US" w:eastAsia="en-US"/>
        </w:rPr>
      </w:r>
      <w:r>
        <w:rPr>
          <w:lang w:val="en-US" w:eastAsia="en-US"/>
        </w:rPr>
      </w:r>
      <w:r>
        <w:rPr>
          <w:lang w:val="en-US" w:eastAsia="en-US"/>
        </w:rPr>
      </w:r>
    </w:p>
    <w:tbl>
      <w:tblPr>
        <w:tblW w:w="100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349"/>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349" w:type="dxa"/>
            <w:vAlign w:val="center"/>
            <w:textDirection w:val="lrTb"/>
            <w:noWrap w:val="false"/>
          </w:tcPr>
          <w:p>
            <w:pPr>
              <w:pStyle w:val="1142"/>
              <w:rPr>
                <w:b/>
                <w:bCs/>
                <w:lang w:eastAsia="en-US"/>
              </w:rPr>
            </w:pPr>
            <w:r>
              <w:rPr>
                <w:b/>
                <w:bCs/>
                <w:lang w:eastAsia="en-US"/>
              </w:rPr>
              <w:t xml:space="preserve">№  </w:t>
              <w:br w:type="textWrapping" w:clear="all"/>
              <w:t xml:space="preserve"> п/п</w:t>
            </w:r>
            <w:r>
              <w:rPr>
                <w:b/>
                <w:bCs/>
                <w:lang w:eastAsia="en-US"/>
              </w:rPr>
            </w:r>
            <w:r>
              <w:rPr>
                <w:b/>
                <w:bCs/>
                <w:lang w:eastAsia="en-US"/>
              </w:rPr>
            </w:r>
          </w:p>
        </w:tc>
        <w:tc>
          <w:tcPr>
            <w:tcW w:w="3338" w:type="dxa"/>
            <w:vAlign w:val="center"/>
            <w:textDirection w:val="lrTb"/>
            <w:noWrap w:val="false"/>
          </w:tcPr>
          <w:p>
            <w:pPr>
              <w:pStyle w:val="1142"/>
              <w:rPr>
                <w:b/>
                <w:bCs/>
                <w:lang w:eastAsia="en-US"/>
              </w:rPr>
            </w:pPr>
            <w:r>
              <w:rPr>
                <w:b/>
                <w:bCs/>
                <w:lang w:eastAsia="en-US"/>
              </w:rPr>
              <w:t xml:space="preserve">Наименование услуги</w:t>
            </w:r>
            <w:r>
              <w:rPr>
                <w:b/>
                <w:bCs/>
                <w:lang w:eastAsia="en-US"/>
              </w:rPr>
            </w:r>
            <w:r>
              <w:rPr>
                <w:b/>
                <w:bCs/>
                <w:lang w:eastAsia="en-US"/>
              </w:rPr>
            </w:r>
          </w:p>
        </w:tc>
        <w:tc>
          <w:tcPr>
            <w:tcW w:w="1787" w:type="dxa"/>
            <w:vAlign w:val="center"/>
            <w:textDirection w:val="lrTb"/>
            <w:noWrap w:val="false"/>
          </w:tcPr>
          <w:p>
            <w:pPr>
              <w:pStyle w:val="1142"/>
              <w:rPr>
                <w:b/>
                <w:bCs/>
                <w:lang w:eastAsia="en-US"/>
              </w:rPr>
            </w:pPr>
            <w:r>
              <w:rPr>
                <w:b/>
                <w:bCs/>
                <w:lang w:eastAsia="en-US"/>
              </w:rPr>
              <w:t xml:space="preserve">Тариф</w:t>
            </w:r>
            <w:r>
              <w:rPr>
                <w:b/>
                <w:bCs/>
                <w:lang w:eastAsia="en-US"/>
              </w:rPr>
            </w:r>
            <w:r>
              <w:rPr>
                <w:b/>
                <w:bCs/>
                <w:lang w:eastAsia="en-US"/>
              </w:rPr>
            </w:r>
          </w:p>
        </w:tc>
        <w:tc>
          <w:tcPr>
            <w:tcW w:w="3590" w:type="dxa"/>
            <w:vAlign w:val="center"/>
            <w:textDirection w:val="lrTb"/>
            <w:noWrap w:val="false"/>
          </w:tcPr>
          <w:p>
            <w:pPr>
              <w:pStyle w:val="1142"/>
              <w:rPr>
                <w:b/>
                <w:bCs/>
                <w:lang w:eastAsia="en-US"/>
              </w:rPr>
            </w:pPr>
            <w:r>
              <w:rPr>
                <w:b/>
                <w:bCs/>
                <w:lang w:eastAsia="en-US"/>
              </w:rPr>
              <w:t xml:space="preserve">Примечание</w:t>
            </w:r>
            <w:r>
              <w:rPr>
                <w:b/>
                <w:bCs/>
                <w:lang w:eastAsia="en-US"/>
              </w:rPr>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 </w:t>
            </w:r>
            <w:r>
              <w:rPr>
                <w:sz w:val="20"/>
                <w:szCs w:val="20"/>
                <w:lang w:eastAsia="en-US"/>
              </w:rPr>
            </w:r>
            <w:r>
              <w:rPr>
                <w:sz w:val="20"/>
                <w:szCs w:val="20"/>
                <w:lang w:eastAsia="en-US"/>
              </w:rPr>
            </w:r>
          </w:p>
        </w:tc>
        <w:tc>
          <w:tcPr>
            <w:gridSpan w:val="3"/>
            <w:tcW w:w="8715" w:type="dxa"/>
            <w:vAlign w:val="top"/>
            <w:textDirection w:val="lrTb"/>
            <w:noWrap w:val="false"/>
          </w:tcPr>
          <w:p>
            <w:pPr>
              <w:pStyle w:val="1142"/>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17.1.1. </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17.1.2.</w:t>
            </w:r>
            <w:r>
              <w:rPr>
                <w:sz w:val="20"/>
                <w:szCs w:val="20"/>
                <w:lang w:eastAsia="en-US"/>
              </w:rPr>
            </w:r>
            <w:r>
              <w:rPr>
                <w:sz w:val="20"/>
                <w:szCs w:val="20"/>
                <w:lang w:eastAsia="en-US"/>
              </w:rPr>
            </w:r>
          </w:p>
        </w:tc>
        <w:tc>
          <w:tcPr>
            <w:gridSpan w:val="3"/>
            <w:tcW w:w="8715" w:type="dxa"/>
            <w:vAlign w:val="top"/>
            <w:textDirection w:val="lrTb"/>
            <w:noWrap w:val="false"/>
          </w:tcPr>
          <w:p>
            <w:pPr>
              <w:pStyle w:val="1142"/>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17.1.2.1.</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17.1.2.2.</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17.1.2.3.</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Смена логина</w:t>
            </w:r>
            <w:r>
              <w:rPr>
                <w:sz w:val="20"/>
                <w:szCs w:val="20"/>
                <w:lang w:eastAsia="en-US"/>
              </w:rPr>
              <w:footnoteReference w:id="13"/>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17.1.2.4.</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17.1.2.5.</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17.1.3.</w:t>
            </w:r>
            <w:r>
              <w:rPr>
                <w:sz w:val="20"/>
                <w:szCs w:val="20"/>
                <w:lang w:eastAsia="en-US"/>
              </w:rPr>
            </w:r>
            <w:r>
              <w:rPr>
                <w:sz w:val="20"/>
                <w:szCs w:val="20"/>
                <w:lang w:eastAsia="en-US"/>
              </w:rPr>
            </w:r>
          </w:p>
        </w:tc>
        <w:tc>
          <w:tcPr>
            <w:gridSpan w:val="3"/>
            <w:tcW w:w="8715" w:type="dxa"/>
            <w:vAlign w:val="top"/>
            <w:textDirection w:val="lrTb"/>
            <w:noWrap w:val="false"/>
          </w:tcPr>
          <w:p>
            <w:pPr>
              <w:pStyle w:val="1142"/>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r>
              <w:rPr>
                <w:sz w:val="20"/>
                <w:szCs w:val="20"/>
                <w:lang w:eastAsia="en-US"/>
              </w:rPr>
            </w:r>
          </w:p>
        </w:tc>
      </w:tr>
      <w:tr>
        <w:tblPrEx/>
        <w:trPr/>
        <w:tc>
          <w:tcPr>
            <w:tcBorders>
              <w:top w:val="single" w:color="000000" w:sz="4" w:space="0"/>
              <w:left w:val="single" w:color="000000" w:sz="4" w:space="0"/>
              <w:right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17.1.3.1.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338" w:type="dxa"/>
            <w:vAlign w:val="top"/>
            <w:textDirection w:val="lrTb"/>
            <w:noWrap w:val="false"/>
          </w:tcPr>
          <w:p>
            <w:pPr>
              <w:pStyle w:val="1142"/>
              <w:rPr>
                <w:sz w:val="20"/>
                <w:szCs w:val="20"/>
                <w:lang w:eastAsia="en-US"/>
              </w:rPr>
            </w:pPr>
            <w:r>
              <w:rPr>
                <w:sz w:val="20"/>
                <w:szCs w:val="20"/>
                <w:lang w:eastAsia="en-US"/>
              </w:rPr>
              <w:t xml:space="preserve">Формирование одной HTML-формы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787" w:type="dxa"/>
            <w:vAlign w:val="top"/>
            <w:textDirection w:val="lrTb"/>
            <w:noWrap w:val="false"/>
          </w:tcPr>
          <w:p>
            <w:pPr>
              <w:pStyle w:val="1142"/>
              <w:rPr>
                <w:sz w:val="20"/>
                <w:szCs w:val="20"/>
                <w:lang w:eastAsia="en-US"/>
              </w:rPr>
            </w:pPr>
            <w:r>
              <w:rPr>
                <w:sz w:val="20"/>
                <w:szCs w:val="20"/>
                <w:lang w:eastAsia="en-US"/>
              </w:rPr>
              <w:t xml:space="preserve">Не взимается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17.1.3.1.1.</w:t>
            </w:r>
            <w:r>
              <w:rPr>
                <w:sz w:val="20"/>
                <w:szCs w:val="20"/>
                <w:lang w:eastAsia="en-US"/>
              </w:rPr>
            </w:r>
            <w:r>
              <w:rPr>
                <w:sz w:val="20"/>
                <w:szCs w:val="20"/>
                <w:lang w:eastAsia="en-US"/>
              </w:rPr>
            </w:r>
          </w:p>
        </w:tc>
        <w:tc>
          <w:tcPr>
            <w:tcBorders>
              <w:top w:val="single" w:color="000000" w:sz="4" w:space="0"/>
            </w:tcBorders>
            <w:tcW w:w="3338" w:type="dxa"/>
            <w:vAlign w:val="top"/>
            <w:textDirection w:val="lrTb"/>
            <w:noWrap w:val="false"/>
          </w:tcPr>
          <w:p>
            <w:pPr>
              <w:pStyle w:val="1142"/>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Borders>
              <w:top w:val="single" w:color="000000" w:sz="4" w:space="0"/>
            </w:tcBorders>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tcBorders>
            <w:tcW w:w="3590" w:type="dxa"/>
            <w:vAlign w:val="top"/>
            <w:textDirection w:val="lrTb"/>
            <w:noWrap w:val="false"/>
          </w:tcPr>
          <w:p>
            <w:pPr>
              <w:pStyle w:val="1142"/>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17.1.3.2.</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17.1.3.3.</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17.1.3.4.</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155 руб.</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r>
              <w:rPr>
                <w:sz w:val="20"/>
                <w:szCs w:val="20"/>
                <w:lang w:eastAsia="en-US"/>
              </w:rPr>
            </w:r>
          </w:p>
          <w:p>
            <w:pPr>
              <w:pStyle w:val="1142"/>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17.1.3.5.</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1 530 руб.</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r>
              <w:rPr>
                <w:sz w:val="20"/>
                <w:szCs w:val="20"/>
                <w:lang w:eastAsia="en-US"/>
              </w:rPr>
            </w:r>
          </w:p>
          <w:p>
            <w:pPr>
              <w:pStyle w:val="1142"/>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17.1.4.</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42"/>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38" w:type="dxa"/>
            <w:vAlign w:val="top"/>
            <w:textDirection w:val="lrTb"/>
            <w:noWrap w:val="false"/>
          </w:tcPr>
          <w:p>
            <w:pPr>
              <w:pStyle w:val="1142"/>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17.1.5.</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42"/>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17.1.5.1.</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1 730 руб.</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r>
              <w:rPr>
                <w:sz w:val="20"/>
                <w:szCs w:val="20"/>
                <w:lang w:eastAsia="en-US"/>
              </w:rPr>
            </w:r>
          </w:p>
          <w:p>
            <w:pPr>
              <w:pStyle w:val="1142"/>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17.1.5.1.1.</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17.1.5.2.</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r>
              <w:rPr>
                <w:sz w:val="20"/>
                <w:szCs w:val="20"/>
                <w:lang w:eastAsia="en-US"/>
              </w:rPr>
            </w:r>
          </w:p>
          <w:p>
            <w:pPr>
              <w:pStyle w:val="1142"/>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17.1.5.2.1.</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349" w:type="dxa"/>
            <w:vAlign w:val="top"/>
            <w:textDirection w:val="lrTb"/>
            <w:noWrap w:val="false"/>
          </w:tcPr>
          <w:p>
            <w:pPr>
              <w:pStyle w:val="1142"/>
              <w:rPr>
                <w:sz w:val="20"/>
                <w:szCs w:val="20"/>
                <w:lang w:eastAsia="en-US"/>
              </w:rPr>
            </w:pPr>
            <w:r>
              <w:rPr>
                <w:sz w:val="20"/>
                <w:szCs w:val="20"/>
                <w:lang w:eastAsia="en-US"/>
              </w:rPr>
              <w:t xml:space="preserve">17.2.</w:t>
            </w:r>
            <w:r>
              <w:rPr>
                <w:sz w:val="20"/>
                <w:szCs w:val="20"/>
                <w:lang w:eastAsia="en-US"/>
              </w:rPr>
            </w:r>
            <w:r>
              <w:rPr>
                <w:sz w:val="20"/>
                <w:szCs w:val="20"/>
                <w:lang w:eastAsia="en-US"/>
              </w:rPr>
            </w:r>
          </w:p>
        </w:tc>
        <w:tc>
          <w:tcPr>
            <w:gridSpan w:val="3"/>
            <w:tcW w:w="8715" w:type="dxa"/>
            <w:vAlign w:val="top"/>
            <w:textDirection w:val="lrTb"/>
            <w:noWrap w:val="false"/>
          </w:tcPr>
          <w:p>
            <w:pPr>
              <w:pStyle w:val="1142"/>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17.2.1 </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17.2.2. </w:t>
            </w:r>
            <w:r>
              <w:rPr>
                <w:sz w:val="20"/>
                <w:szCs w:val="20"/>
                <w:lang w:eastAsia="en-US"/>
              </w:rPr>
            </w:r>
            <w:r>
              <w:rPr>
                <w:sz w:val="20"/>
                <w:szCs w:val="20"/>
                <w:lang w:eastAsia="en-US"/>
              </w:rPr>
            </w:r>
          </w:p>
        </w:tc>
        <w:tc>
          <w:tcPr>
            <w:gridSpan w:val="3"/>
            <w:tcW w:w="8715" w:type="dxa"/>
            <w:vAlign w:val="top"/>
            <w:textDirection w:val="lrTb"/>
            <w:noWrap w:val="false"/>
          </w:tcPr>
          <w:p>
            <w:pPr>
              <w:pStyle w:val="1142"/>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17.2.2.1. </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17.2.2.2. </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17.2.2.3. </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Смена логина</w:t>
            </w:r>
            <w:r>
              <w:rPr>
                <w:sz w:val="20"/>
                <w:szCs w:val="20"/>
                <w:lang w:eastAsia="en-US"/>
              </w:rPr>
              <w:footnoteReference w:id="14"/>
            </w:r>
            <w:r>
              <w:rPr>
                <w:sz w:val="20"/>
                <w:szCs w:val="20"/>
                <w:lang w:eastAsia="en-US"/>
              </w:rPr>
              <w:t xml:space="preserve"> и/или пароля для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17.2.2.4.</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p>
            <w:pPr>
              <w:pStyle w:val="1142"/>
              <w:rPr>
                <w:sz w:val="20"/>
                <w:szCs w:val="20"/>
                <w:lang w:eastAsia="en-US"/>
              </w:rPr>
            </w:pPr>
            <w:r>
              <w:rPr>
                <w:sz w:val="20"/>
                <w:szCs w:val="20"/>
                <w:lang w:eastAsia="en-US"/>
              </w:rPr>
            </w:r>
            <w:r>
              <w:rPr>
                <w:sz w:val="20"/>
                <w:szCs w:val="20"/>
                <w:lang w:eastAsia="en-US"/>
              </w:rPr>
            </w:r>
            <w:r>
              <w:rPr>
                <w:sz w:val="20"/>
                <w:szCs w:val="20"/>
                <w:lang w:eastAsia="en-US"/>
              </w:rPr>
            </w:r>
          </w:p>
          <w:p>
            <w:pPr>
              <w:pStyle w:val="1142"/>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349" w:type="dxa"/>
            <w:vAlign w:val="top"/>
            <w:textDirection w:val="lrTb"/>
            <w:noWrap w:val="false"/>
          </w:tcPr>
          <w:p>
            <w:pPr>
              <w:pStyle w:val="1142"/>
              <w:rPr>
                <w:sz w:val="20"/>
                <w:szCs w:val="20"/>
                <w:lang w:eastAsia="en-US"/>
              </w:rPr>
            </w:pPr>
            <w:r>
              <w:rPr>
                <w:sz w:val="20"/>
                <w:szCs w:val="20"/>
                <w:lang w:eastAsia="en-US"/>
              </w:rPr>
              <w:t xml:space="preserve">17.2.2.5. </w:t>
            </w:r>
            <w:r>
              <w:rPr>
                <w:sz w:val="20"/>
                <w:szCs w:val="20"/>
                <w:lang w:eastAsia="en-US"/>
              </w:rPr>
            </w:r>
            <w:r>
              <w:rPr>
                <w:sz w:val="20"/>
                <w:szCs w:val="20"/>
                <w:lang w:eastAsia="en-US"/>
              </w:rPr>
            </w:r>
          </w:p>
        </w:tc>
        <w:tc>
          <w:tcPr>
            <w:tcW w:w="3338" w:type="dxa"/>
            <w:vAlign w:val="top"/>
            <w:textDirection w:val="lrTb"/>
            <w:noWrap w:val="false"/>
          </w:tcPr>
          <w:p>
            <w:pPr>
              <w:pStyle w:val="1142"/>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r>
              <w:rPr>
                <w:sz w:val="20"/>
                <w:szCs w:val="20"/>
                <w:lang w:eastAsia="en-US"/>
              </w:rPr>
            </w:r>
          </w:p>
        </w:tc>
        <w:tc>
          <w:tcPr>
            <w:tcW w:w="1787" w:type="dxa"/>
            <w:vAlign w:val="top"/>
            <w:textDirection w:val="lrTb"/>
            <w:noWrap w:val="false"/>
          </w:tcPr>
          <w:p>
            <w:pPr>
              <w:pStyle w:val="1142"/>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590" w:type="dxa"/>
            <w:vAlign w:val="top"/>
            <w:textDirection w:val="lrTb"/>
            <w:noWrap w:val="false"/>
          </w:tcPr>
          <w:p>
            <w:pPr>
              <w:pStyle w:val="1142"/>
              <w:rPr>
                <w:sz w:val="20"/>
                <w:szCs w:val="20"/>
                <w:lang w:eastAsia="en-US"/>
              </w:rPr>
            </w:pPr>
            <w:r>
              <w:rPr>
                <w:sz w:val="20"/>
                <w:szCs w:val="20"/>
                <w:lang w:eastAsia="en-US"/>
              </w:rPr>
            </w:r>
            <w:r>
              <w:rPr>
                <w:sz w:val="20"/>
                <w:szCs w:val="20"/>
                <w:lang w:eastAsia="en-US"/>
              </w:rPr>
            </w:r>
            <w:r>
              <w:rPr>
                <w:sz w:val="20"/>
                <w:szCs w:val="20"/>
                <w:lang w:eastAsia="en-US"/>
              </w:rPr>
            </w:r>
          </w:p>
        </w:tc>
      </w:tr>
    </w:tbl>
    <w:p>
      <w:pPr>
        <w:pStyle w:val="1142"/>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r>
        <w:rPr>
          <w:bCs/>
          <w:i/>
          <w:iCs/>
          <w:sz w:val="20"/>
          <w:szCs w:val="20"/>
          <w:u w:val="single"/>
          <w:lang w:eastAsia="en-US"/>
        </w:rPr>
      </w:r>
    </w:p>
    <w:p>
      <w:pPr>
        <w:pStyle w:val="1142"/>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r>
        <w:rPr>
          <w:bCs/>
          <w:i/>
          <w:iCs/>
          <w:sz w:val="20"/>
          <w:szCs w:val="20"/>
          <w:lang w:eastAsia="en-US"/>
        </w:rPr>
      </w:r>
    </w:p>
    <w:p>
      <w:pPr>
        <w:pStyle w:val="1142"/>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1142"/>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r>
        <w:rPr>
          <w:bCs/>
          <w:i/>
          <w:iCs/>
          <w:sz w:val="20"/>
          <w:szCs w:val="20"/>
          <w:lang w:eastAsia="en-US"/>
        </w:rPr>
      </w:r>
    </w:p>
    <w:p>
      <w:pPr>
        <w:pStyle w:val="1142"/>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1142"/>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42"/>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46"/>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34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7"/>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center"/>
            <w:textDirection w:val="lrTb"/>
            <w:noWrap w:val="false"/>
          </w:tcPr>
          <w:p>
            <w:pPr>
              <w:pStyle w:val="1142"/>
              <w:ind w:hanging="137"/>
              <w:jc w:val="center"/>
              <w:rPr>
                <w:sz w:val="22"/>
                <w:szCs w:val="22"/>
              </w:rPr>
            </w:pPr>
            <w:r>
              <w:rPr>
                <w:sz w:val="22"/>
                <w:szCs w:val="22"/>
              </w:rPr>
              <w:t xml:space="preserve">№</w:t>
            </w:r>
            <w:r>
              <w:rPr>
                <w:sz w:val="22"/>
                <w:szCs w:val="22"/>
              </w:rPr>
            </w:r>
            <w:r>
              <w:rPr>
                <w:sz w:val="22"/>
                <w:szCs w:val="22"/>
              </w:rPr>
            </w:r>
          </w:p>
          <w:p>
            <w:pPr>
              <w:pStyle w:val="1142"/>
              <w:ind w:hanging="137"/>
              <w:jc w:val="center"/>
              <w:rPr>
                <w:sz w:val="22"/>
                <w:szCs w:val="22"/>
              </w:rPr>
            </w:pPr>
            <w:r>
              <w:rPr>
                <w:sz w:val="22"/>
                <w:szCs w:val="22"/>
              </w:rPr>
              <w:t xml:space="preserve">п/п</w:t>
            </w:r>
            <w:r>
              <w:rPr>
                <w:sz w:val="22"/>
                <w:szCs w:val="22"/>
              </w:rPr>
            </w:r>
            <w:r>
              <w:rPr>
                <w:sz w:val="22"/>
                <w:szCs w:val="22"/>
              </w:rPr>
            </w:r>
          </w:p>
        </w:tc>
        <w:tc>
          <w:tcPr>
            <w:tcW w:w="5953" w:type="dxa"/>
            <w:vAlign w:val="center"/>
            <w:textDirection w:val="lrTb"/>
            <w:noWrap w:val="false"/>
          </w:tcPr>
          <w:p>
            <w:pPr>
              <w:pStyle w:val="1142"/>
              <w:jc w:val="center"/>
              <w:rPr>
                <w:sz w:val="22"/>
                <w:szCs w:val="22"/>
              </w:rPr>
            </w:pPr>
            <w:r>
              <w:rPr>
                <w:sz w:val="22"/>
                <w:szCs w:val="22"/>
              </w:rPr>
              <w:t xml:space="preserve">Наименование услуги</w:t>
            </w:r>
            <w:r>
              <w:rPr>
                <w:sz w:val="22"/>
                <w:szCs w:val="22"/>
              </w:rPr>
            </w:r>
            <w:r>
              <w:rPr>
                <w:sz w:val="22"/>
                <w:szCs w:val="22"/>
              </w:rPr>
            </w:r>
          </w:p>
        </w:tc>
        <w:tc>
          <w:tcPr>
            <w:tcW w:w="1985" w:type="dxa"/>
            <w:vAlign w:val="center"/>
            <w:textDirection w:val="lrTb"/>
            <w:noWrap w:val="false"/>
          </w:tcPr>
          <w:p>
            <w:pPr>
              <w:pStyle w:val="1142"/>
              <w:jc w:val="center"/>
              <w:rPr>
                <w:sz w:val="22"/>
                <w:szCs w:val="22"/>
              </w:rPr>
            </w:pPr>
            <w:r>
              <w:rPr>
                <w:sz w:val="22"/>
                <w:szCs w:val="22"/>
              </w:rPr>
              <w:t xml:space="preserve">Тариф </w:t>
            </w:r>
            <w:r>
              <w:rPr>
                <w:sz w:val="22"/>
                <w:szCs w:val="22"/>
              </w:rPr>
            </w:r>
            <w:r>
              <w:rPr>
                <w:sz w:val="22"/>
                <w:szCs w:val="22"/>
              </w:rPr>
            </w:r>
          </w:p>
        </w:tc>
        <w:tc>
          <w:tcPr>
            <w:tcW w:w="1843" w:type="dxa"/>
            <w:vAlign w:val="center"/>
            <w:textDirection w:val="lrTb"/>
            <w:noWrap w:val="false"/>
          </w:tcPr>
          <w:p>
            <w:pPr>
              <w:pStyle w:val="1142"/>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2"/>
              <w:jc w:val="center"/>
              <w:spacing w:before="40" w:after="40"/>
              <w:rPr>
                <w:sz w:val="20"/>
                <w:szCs w:val="20"/>
              </w:rPr>
            </w:pPr>
            <w:r>
              <w:rPr>
                <w:sz w:val="20"/>
                <w:szCs w:val="20"/>
              </w:rPr>
              <w:t xml:space="preserve">1.</w:t>
            </w:r>
            <w:r>
              <w:rPr>
                <w:sz w:val="20"/>
                <w:szCs w:val="20"/>
              </w:rPr>
            </w:r>
            <w:r>
              <w:rPr>
                <w:sz w:val="20"/>
                <w:szCs w:val="20"/>
              </w:rPr>
            </w:r>
          </w:p>
        </w:tc>
        <w:tc>
          <w:tcPr>
            <w:gridSpan w:val="3"/>
            <w:tcW w:w="9781" w:type="dxa"/>
            <w:vAlign w:val="top"/>
            <w:textDirection w:val="lrTb"/>
            <w:noWrap w:val="false"/>
          </w:tcPr>
          <w:p>
            <w:pPr>
              <w:pStyle w:val="1142"/>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2"/>
              <w:jc w:val="center"/>
              <w:spacing w:before="40" w:after="40"/>
              <w:rPr>
                <w:sz w:val="20"/>
                <w:szCs w:val="20"/>
              </w:rPr>
            </w:pPr>
            <w:r>
              <w:rPr>
                <w:sz w:val="20"/>
                <w:szCs w:val="20"/>
              </w:rPr>
              <w:t xml:space="preserve">1.1.</w:t>
            </w:r>
            <w:r>
              <w:rPr>
                <w:sz w:val="20"/>
                <w:szCs w:val="20"/>
              </w:rPr>
            </w:r>
            <w:r>
              <w:rPr>
                <w:sz w:val="20"/>
                <w:szCs w:val="20"/>
              </w:rPr>
            </w:r>
          </w:p>
        </w:tc>
        <w:tc>
          <w:tcPr>
            <w:tcW w:w="5953" w:type="dxa"/>
            <w:vAlign w:val="top"/>
            <w:textDirection w:val="lrTb"/>
            <w:noWrap w:val="false"/>
          </w:tcPr>
          <w:p>
            <w:pPr>
              <w:pStyle w:val="1142"/>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985"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42"/>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7" w:type="dxa"/>
            <w:vAlign w:val="top"/>
            <w:textDirection w:val="lrTb"/>
            <w:noWrap w:val="false"/>
          </w:tcPr>
          <w:p>
            <w:pPr>
              <w:pStyle w:val="1142"/>
              <w:jc w:val="center"/>
              <w:spacing w:before="40" w:after="40"/>
              <w:rPr>
                <w:sz w:val="20"/>
                <w:szCs w:val="20"/>
              </w:rPr>
            </w:pPr>
            <w:r>
              <w:rPr>
                <w:sz w:val="20"/>
                <w:szCs w:val="20"/>
              </w:rPr>
              <w:t xml:space="preserve">1.2.</w:t>
            </w:r>
            <w:r>
              <w:rPr>
                <w:sz w:val="20"/>
                <w:szCs w:val="20"/>
              </w:rPr>
            </w:r>
            <w:r>
              <w:rPr>
                <w:sz w:val="20"/>
                <w:szCs w:val="20"/>
              </w:rPr>
            </w:r>
          </w:p>
        </w:tc>
        <w:tc>
          <w:tcPr>
            <w:tcW w:w="5953" w:type="dxa"/>
            <w:vAlign w:val="top"/>
            <w:textDirection w:val="lrTb"/>
            <w:noWrap w:val="false"/>
          </w:tcPr>
          <w:p>
            <w:pPr>
              <w:pStyle w:val="1142"/>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985" w:type="dxa"/>
            <w:vAlign w:val="top"/>
            <w:textDirection w:val="lrTb"/>
            <w:noWrap w:val="false"/>
          </w:tcPr>
          <w:p>
            <w:pPr>
              <w:pStyle w:val="1142"/>
              <w:jc w:val="center"/>
              <w:spacing w:before="40"/>
              <w:rPr>
                <w:sz w:val="20"/>
                <w:szCs w:val="20"/>
              </w:rPr>
            </w:pPr>
            <w:r>
              <w:rPr>
                <w:sz w:val="20"/>
                <w:szCs w:val="20"/>
              </w:rPr>
              <w:t xml:space="preserve">Не взимается*</w:t>
            </w:r>
            <w:r>
              <w:rPr>
                <w:sz w:val="20"/>
                <w:szCs w:val="20"/>
              </w:rPr>
            </w:r>
            <w:r>
              <w:rPr>
                <w:sz w:val="20"/>
                <w:szCs w:val="20"/>
              </w:rPr>
            </w:r>
          </w:p>
        </w:tc>
        <w:tc>
          <w:tcPr>
            <w:tcW w:w="1843" w:type="dxa"/>
            <w:vAlign w:val="top"/>
            <w:textDirection w:val="lrTb"/>
            <w:noWrap w:val="false"/>
          </w:tcPr>
          <w:p>
            <w:pPr>
              <w:pStyle w:val="1142"/>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42"/>
        <w:ind w:left="-425" w:right="-284" w:firstLine="709"/>
        <w:jc w:val="both"/>
        <w:spacing w:before="120"/>
        <w:rPr>
          <w:sz w:val="20"/>
          <w:szCs w:val="20"/>
        </w:rPr>
      </w:pPr>
      <w:r>
        <w:rPr>
          <w:sz w:val="20"/>
          <w:szCs w:val="20"/>
        </w:rPr>
        <w:t xml:space="preserve">* Срок действия – до 31.12.2024 (включительно).</w:t>
      </w:r>
      <w:r>
        <w:rPr>
          <w:sz w:val="20"/>
          <w:szCs w:val="20"/>
        </w:rPr>
      </w:r>
      <w:r>
        <w:rPr>
          <w:sz w:val="20"/>
          <w:szCs w:val="20"/>
        </w:rP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1"/>
      </w:pPr>
      <w:r>
        <w:rPr>
          <w:rStyle w:val="1174"/>
        </w:rPr>
        <w:footnoteRef/>
      </w:r>
      <w:r>
        <w:t xml:space="preserve"> </w:t>
      </w:r>
      <w:r>
        <w:rPr>
          <w:rFonts w:eastAsia="Calibri"/>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внутренние структурные подразделения.</w:t>
      </w:r>
      <w:r/>
    </w:p>
  </w:footnote>
  <w:footnote w:id="3">
    <w:p>
      <w:pPr>
        <w:pStyle w:val="1171"/>
      </w:pPr>
      <w:r>
        <w:rPr>
          <w:rStyle w:val="1174"/>
        </w:rPr>
        <w:footnoteRef/>
      </w:r>
      <w:r>
        <w:t xml:space="preserve"> </w:t>
      </w:r>
      <w:r>
        <w:t xml:space="preserve">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p>
  </w:footnote>
  <w:footnote w:id="4">
    <w:p>
      <w:pPr>
        <w:pStyle w:val="1171"/>
      </w:pPr>
      <w:r>
        <w:rPr>
          <w:rStyle w:val="1174"/>
        </w:rPr>
        <w:footnoteRef/>
      </w:r>
      <w:r>
        <w:t xml:space="preserve"> [номер сноски указывается в соответствии с нумерацией сносок в </w:t>
      </w:r>
      <w:r>
        <w:t xml:space="preserve">Тарифах</w:t>
      </w:r>
      <w:r>
        <w:t xml:space="preserve">]</w:t>
      </w:r>
      <w:r/>
    </w:p>
    <w:p>
      <w:pPr>
        <w:pStyle w:val="1171"/>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5">
    <w:p>
      <w:pPr>
        <w:pStyle w:val="1171"/>
      </w:pPr>
      <w:r>
        <w:rPr>
          <w:rStyle w:val="1174"/>
        </w:rPr>
        <w:footnoteRef/>
      </w:r>
      <w:r>
        <w:t xml:space="preserve"> [номер сноски указывается в соответствии с нумерацией сносок в Тарифах]</w:t>
      </w:r>
      <w:r/>
    </w:p>
    <w:p>
      <w:pPr>
        <w:pStyle w:val="1171"/>
      </w:pP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71"/>
      </w:pPr>
      <w:r/>
      <w:r/>
    </w:p>
  </w:footnote>
  <w:footnote w:id="6">
    <w:p>
      <w:pPr>
        <w:pStyle w:val="1171"/>
        <w:jc w:val="both"/>
      </w:pPr>
      <w:r>
        <w:rPr>
          <w:rStyle w:val="1174"/>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1"/>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171"/>
      </w:pPr>
      <w:r>
        <w:rPr>
          <w:rStyle w:val="1174"/>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71"/>
      </w:pPr>
      <w:r>
        <w:t xml:space="preserve">В соответствии с пунктом 10.2 приказа АО «Россельхозбанк» от 01.08.2013 № 386-ОД.</w:t>
      </w:r>
      <w:r/>
    </w:p>
  </w:footnote>
  <w:footnote w:id="8">
    <w:p>
      <w:pPr>
        <w:pStyle w:val="1190"/>
        <w:ind w:left="0"/>
        <w:jc w:val="both"/>
        <w:spacing w:line="240" w:lineRule="auto"/>
        <w:tabs>
          <w:tab w:val="left" w:pos="426" w:leader="none"/>
        </w:tabs>
        <w:rPr>
          <w:sz w:val="24"/>
          <w:szCs w:val="24"/>
        </w:rPr>
      </w:pPr>
      <w:r>
        <w:rPr>
          <w:rStyle w:val="1174"/>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9">
    <w:p>
      <w:pPr>
        <w:pStyle w:val="1142"/>
        <w:ind w:right="-17"/>
        <w:jc w:val="both"/>
        <w:spacing w:before="40" w:after="40"/>
        <w:tabs>
          <w:tab w:val="left" w:pos="4464" w:leader="none"/>
          <w:tab w:val="left" w:pos="5760" w:leader="none"/>
        </w:tabs>
        <w:rPr>
          <w:rFonts w:eastAsia="Calibri"/>
          <w:i/>
          <w:sz w:val="20"/>
          <w:szCs w:val="20"/>
        </w:rPr>
      </w:pPr>
      <w:r>
        <w:rPr>
          <w:rStyle w:val="1174"/>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1142"/>
        <w:ind w:left="-2" w:right="-18"/>
        <w:jc w:val="both"/>
        <w:spacing w:before="40" w:after="40"/>
        <w:tabs>
          <w:tab w:val="left" w:pos="4464" w:leader="none"/>
          <w:tab w:val="left" w:pos="5760" w:leader="none"/>
        </w:tabs>
        <w:rPr>
          <w:i/>
          <w:sz w:val="16"/>
          <w:szCs w:val="16"/>
        </w:rPr>
      </w:pPr>
      <w:r>
        <w:rPr>
          <w:i/>
          <w:sz w:val="16"/>
          <w:szCs w:val="16"/>
        </w:rPr>
      </w:r>
      <w:r>
        <w:rPr>
          <w:i/>
          <w:sz w:val="16"/>
          <w:szCs w:val="16"/>
        </w:rPr>
      </w:r>
      <w:r>
        <w:rPr>
          <w:i/>
          <w:sz w:val="16"/>
          <w:szCs w:val="16"/>
        </w:rPr>
      </w:r>
    </w:p>
  </w:footnote>
  <w:footnote w:id="10">
    <w:p>
      <w:pPr>
        <w:pStyle w:val="1171"/>
      </w:pPr>
      <w:r>
        <w:rPr>
          <w:rStyle w:val="1174"/>
          <w:sz w:val="18"/>
          <w:szCs w:val="18"/>
        </w:rPr>
        <w:footnoteRef/>
      </w:r>
      <w:r>
        <w:rPr>
          <w:sz w:val="18"/>
          <w:szCs w:val="18"/>
        </w:rPr>
        <w:t xml:space="preserve"> </w:t>
      </w:r>
      <w:r>
        <w:t xml:space="preserve">[Номер сноски указывается в соответствии с нумерацией сносок в Тарифах]</w:t>
      </w:r>
      <w:r/>
    </w:p>
    <w:p>
      <w:pPr>
        <w:pStyle w:val="1171"/>
      </w:pPr>
      <w:r>
        <w:t xml:space="preserve">Комиссионное вознаграждение по операциям приема/выдачи слитков драгоценных металлов НДС не облагается. </w:t>
      </w:r>
      <w:r/>
    </w:p>
  </w:footnote>
  <w:footnote w:id="11">
    <w:p>
      <w:pPr>
        <w:pStyle w:val="1171"/>
        <w:jc w:val="both"/>
      </w:pPr>
      <w:r>
        <w:rPr>
          <w:rStyle w:val="1174"/>
        </w:rPr>
        <w:footnoteRef/>
      </w:r>
      <w:r>
        <w:t xml:space="preserve"> [Номер сноски указывается в соответствии с нумерацией сносок в Тарифах]</w:t>
      </w:r>
      <w:r/>
    </w:p>
    <w:p>
      <w:pPr>
        <w:pStyle w:val="1171"/>
        <w:jc w:val="both"/>
      </w:pPr>
      <w: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71"/>
        <w:jc w:val="both"/>
        <w:rPr>
          <w:sz w:val="18"/>
          <w:szCs w:val="18"/>
        </w:rPr>
      </w:pPr>
      <w:r>
        <w:rPr>
          <w:rStyle w:val="1174"/>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71"/>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3">
    <w:p>
      <w:pPr>
        <w:pStyle w:val="1142"/>
        <w:jc w:val="both"/>
        <w:rPr>
          <w:bCs/>
          <w:i/>
          <w:sz w:val="20"/>
          <w:szCs w:val="20"/>
          <w:lang w:eastAsia="en-US"/>
        </w:rPr>
      </w:pPr>
      <w:r>
        <w:rPr>
          <w:rStyle w:val="1174"/>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r>
        <w:rPr>
          <w:bCs/>
          <w:i/>
          <w:sz w:val="20"/>
          <w:szCs w:val="20"/>
          <w:lang w:eastAsia="en-US"/>
        </w:rPr>
      </w:r>
    </w:p>
    <w:p>
      <w:pPr>
        <w:pStyle w:val="1171"/>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r>
        <w:rPr>
          <w:sz w:val="18"/>
          <w:szCs w:val="18"/>
        </w:rPr>
      </w:r>
    </w:p>
  </w:footnote>
  <w:footnote w:id="14">
    <w:p>
      <w:pPr>
        <w:pStyle w:val="1142"/>
        <w:jc w:val="both"/>
        <w:rPr>
          <w:bCs/>
          <w:sz w:val="18"/>
          <w:szCs w:val="18"/>
          <w:lang w:eastAsia="en-US"/>
        </w:rPr>
      </w:pPr>
      <w:r>
        <w:rPr>
          <w:rStyle w:val="1174"/>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71"/>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2"/>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163"/>
      <w:jc w:val="center"/>
      <w:rPr>
        <w:sz w:val="22"/>
      </w:rPr>
    </w:pPr>
    <w:r>
      <w:rPr>
        <w:sz w:val="22"/>
      </w:rPr>
    </w: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3"/>
      <w:rPr>
        <w:color w:val="ffffff"/>
        <w:lang w:val="ru-RU"/>
      </w:rPr>
    </w:pPr>
    <w:r>
      <w:rPr>
        <w:color w:val="ffffff"/>
        <w:lang w:val="ru-RU"/>
      </w:rPr>
      <w:t xml:space="preserve">2013.11.02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6">
    <w:multiLevelType w:val="hybridMultilevel"/>
    <w:lvl w:ilvl="0">
      <w:start w:val="13"/>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0"/>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13"/>
  </w:num>
  <w:num w:numId="9">
    <w:abstractNumId w:val="19"/>
  </w:num>
  <w:num w:numId="10">
    <w:abstractNumId w:val="12"/>
  </w:num>
  <w:num w:numId="11">
    <w:abstractNumId w:val="14"/>
  </w:num>
  <w:num w:numId="12">
    <w:abstractNumId w:val="3"/>
  </w:num>
  <w:num w:numId="13">
    <w:abstractNumId w:val="0"/>
  </w:num>
  <w:num w:numId="14">
    <w:abstractNumId w:val="5"/>
  </w:num>
  <w:num w:numId="15">
    <w:abstractNumId w:val="17"/>
  </w:num>
  <w:num w:numId="16">
    <w:abstractNumId w:val="18"/>
  </w:num>
  <w:num w:numId="17">
    <w:abstractNumId w:val="11"/>
  </w:num>
  <w:num w:numId="18">
    <w:abstractNumId w:val="4"/>
  </w:num>
  <w:num w:numId="19">
    <w:abstractNumId w:val="20"/>
  </w:num>
  <w:num w:numId="20">
    <w:abstractNumId w:val="8"/>
  </w:num>
  <w:num w:numId="21">
    <w:abstractNumId w:val="2"/>
  </w:num>
  <w:num w:numId="22">
    <w:abstractNumId w:val="2"/>
  </w:num>
  <w:num w:numId="23">
    <w:abstractNumId w:val="2"/>
  </w:num>
  <w:num w:numId="24">
    <w:abstractNumId w:val="6"/>
  </w:num>
  <w:num w:numId="25">
    <w:abstractNumId w:val="1"/>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64">
    <w:name w:val="Heading 1"/>
    <w:basedOn w:val="1142"/>
    <w:next w:val="1142"/>
    <w:link w:val="965"/>
    <w:uiPriority w:val="9"/>
    <w:qFormat/>
    <w:pPr>
      <w:keepLines/>
      <w:keepNext/>
      <w:spacing w:before="480" w:after="200"/>
      <w:outlineLvl w:val="0"/>
    </w:pPr>
    <w:rPr>
      <w:rFonts w:ascii="Arial" w:hAnsi="Arial" w:eastAsia="Arial" w:cs="Arial"/>
      <w:sz w:val="40"/>
      <w:szCs w:val="40"/>
    </w:rPr>
  </w:style>
  <w:style w:type="character" w:styleId="965">
    <w:name w:val="Heading 1 Char"/>
    <w:link w:val="964"/>
    <w:uiPriority w:val="9"/>
    <w:rPr>
      <w:rFonts w:ascii="Arial" w:hAnsi="Arial" w:eastAsia="Arial" w:cs="Arial"/>
      <w:sz w:val="40"/>
      <w:szCs w:val="40"/>
    </w:rPr>
  </w:style>
  <w:style w:type="paragraph" w:styleId="966">
    <w:name w:val="Heading 2"/>
    <w:basedOn w:val="1142"/>
    <w:next w:val="1142"/>
    <w:link w:val="967"/>
    <w:uiPriority w:val="9"/>
    <w:unhideWhenUsed/>
    <w:qFormat/>
    <w:pPr>
      <w:keepLines/>
      <w:keepNext/>
      <w:spacing w:before="360" w:after="200"/>
      <w:outlineLvl w:val="1"/>
    </w:pPr>
    <w:rPr>
      <w:rFonts w:ascii="Arial" w:hAnsi="Arial" w:eastAsia="Arial" w:cs="Arial"/>
      <w:sz w:val="34"/>
    </w:rPr>
  </w:style>
  <w:style w:type="character" w:styleId="967">
    <w:name w:val="Heading 2 Char"/>
    <w:link w:val="966"/>
    <w:uiPriority w:val="9"/>
    <w:rPr>
      <w:rFonts w:ascii="Arial" w:hAnsi="Arial" w:eastAsia="Arial" w:cs="Arial"/>
      <w:sz w:val="34"/>
    </w:rPr>
  </w:style>
  <w:style w:type="paragraph" w:styleId="968">
    <w:name w:val="Heading 3"/>
    <w:basedOn w:val="1142"/>
    <w:next w:val="1142"/>
    <w:link w:val="969"/>
    <w:uiPriority w:val="9"/>
    <w:unhideWhenUsed/>
    <w:qFormat/>
    <w:pPr>
      <w:keepLines/>
      <w:keepNext/>
      <w:spacing w:before="320" w:after="200"/>
      <w:outlineLvl w:val="2"/>
    </w:pPr>
    <w:rPr>
      <w:rFonts w:ascii="Arial" w:hAnsi="Arial" w:eastAsia="Arial" w:cs="Arial"/>
      <w:sz w:val="30"/>
      <w:szCs w:val="30"/>
    </w:rPr>
  </w:style>
  <w:style w:type="character" w:styleId="969">
    <w:name w:val="Heading 3 Char"/>
    <w:link w:val="968"/>
    <w:uiPriority w:val="9"/>
    <w:rPr>
      <w:rFonts w:ascii="Arial" w:hAnsi="Arial" w:eastAsia="Arial" w:cs="Arial"/>
      <w:sz w:val="30"/>
      <w:szCs w:val="30"/>
    </w:rPr>
  </w:style>
  <w:style w:type="paragraph" w:styleId="970">
    <w:name w:val="Heading 4"/>
    <w:basedOn w:val="1142"/>
    <w:next w:val="1142"/>
    <w:link w:val="971"/>
    <w:uiPriority w:val="9"/>
    <w:unhideWhenUsed/>
    <w:qFormat/>
    <w:pPr>
      <w:keepLines/>
      <w:keepNext/>
      <w:spacing w:before="320" w:after="200"/>
      <w:outlineLvl w:val="3"/>
    </w:pPr>
    <w:rPr>
      <w:rFonts w:ascii="Arial" w:hAnsi="Arial" w:eastAsia="Arial" w:cs="Arial"/>
      <w:b/>
      <w:bCs/>
      <w:sz w:val="26"/>
      <w:szCs w:val="26"/>
    </w:rPr>
  </w:style>
  <w:style w:type="character" w:styleId="971">
    <w:name w:val="Heading 4 Char"/>
    <w:link w:val="970"/>
    <w:uiPriority w:val="9"/>
    <w:rPr>
      <w:rFonts w:ascii="Arial" w:hAnsi="Arial" w:eastAsia="Arial" w:cs="Arial"/>
      <w:b/>
      <w:bCs/>
      <w:sz w:val="26"/>
      <w:szCs w:val="26"/>
    </w:rPr>
  </w:style>
  <w:style w:type="paragraph" w:styleId="972">
    <w:name w:val="Heading 5"/>
    <w:basedOn w:val="1142"/>
    <w:next w:val="1142"/>
    <w:link w:val="973"/>
    <w:uiPriority w:val="9"/>
    <w:unhideWhenUsed/>
    <w:qFormat/>
    <w:pPr>
      <w:keepLines/>
      <w:keepNext/>
      <w:spacing w:before="320" w:after="200"/>
      <w:outlineLvl w:val="4"/>
    </w:pPr>
    <w:rPr>
      <w:rFonts w:ascii="Arial" w:hAnsi="Arial" w:eastAsia="Arial" w:cs="Arial"/>
      <w:b/>
      <w:bCs/>
      <w:sz w:val="24"/>
      <w:szCs w:val="24"/>
    </w:rPr>
  </w:style>
  <w:style w:type="character" w:styleId="973">
    <w:name w:val="Heading 5 Char"/>
    <w:link w:val="972"/>
    <w:uiPriority w:val="9"/>
    <w:rPr>
      <w:rFonts w:ascii="Arial" w:hAnsi="Arial" w:eastAsia="Arial" w:cs="Arial"/>
      <w:b/>
      <w:bCs/>
      <w:sz w:val="24"/>
      <w:szCs w:val="24"/>
    </w:rPr>
  </w:style>
  <w:style w:type="paragraph" w:styleId="974">
    <w:name w:val="Heading 6"/>
    <w:basedOn w:val="1142"/>
    <w:next w:val="1142"/>
    <w:link w:val="975"/>
    <w:uiPriority w:val="9"/>
    <w:unhideWhenUsed/>
    <w:qFormat/>
    <w:pPr>
      <w:keepLines/>
      <w:keepNext/>
      <w:spacing w:before="320" w:after="200"/>
      <w:outlineLvl w:val="5"/>
    </w:pPr>
    <w:rPr>
      <w:rFonts w:ascii="Arial" w:hAnsi="Arial" w:eastAsia="Arial" w:cs="Arial"/>
      <w:b/>
      <w:bCs/>
      <w:sz w:val="22"/>
      <w:szCs w:val="22"/>
    </w:rPr>
  </w:style>
  <w:style w:type="character" w:styleId="975">
    <w:name w:val="Heading 6 Char"/>
    <w:link w:val="974"/>
    <w:uiPriority w:val="9"/>
    <w:rPr>
      <w:rFonts w:ascii="Arial" w:hAnsi="Arial" w:eastAsia="Arial" w:cs="Arial"/>
      <w:b/>
      <w:bCs/>
      <w:sz w:val="22"/>
      <w:szCs w:val="22"/>
    </w:rPr>
  </w:style>
  <w:style w:type="paragraph" w:styleId="976">
    <w:name w:val="Heading 7"/>
    <w:basedOn w:val="1142"/>
    <w:next w:val="1142"/>
    <w:link w:val="977"/>
    <w:uiPriority w:val="9"/>
    <w:unhideWhenUsed/>
    <w:qFormat/>
    <w:pPr>
      <w:keepLines/>
      <w:keepNext/>
      <w:spacing w:before="320" w:after="200"/>
      <w:outlineLvl w:val="6"/>
    </w:pPr>
    <w:rPr>
      <w:rFonts w:ascii="Arial" w:hAnsi="Arial" w:eastAsia="Arial" w:cs="Arial"/>
      <w:b/>
      <w:bCs/>
      <w:i/>
      <w:iCs/>
      <w:sz w:val="22"/>
      <w:szCs w:val="22"/>
    </w:rPr>
  </w:style>
  <w:style w:type="character" w:styleId="977">
    <w:name w:val="Heading 7 Char"/>
    <w:link w:val="976"/>
    <w:uiPriority w:val="9"/>
    <w:rPr>
      <w:rFonts w:ascii="Arial" w:hAnsi="Arial" w:eastAsia="Arial" w:cs="Arial"/>
      <w:b/>
      <w:bCs/>
      <w:i/>
      <w:iCs/>
      <w:sz w:val="22"/>
      <w:szCs w:val="22"/>
    </w:rPr>
  </w:style>
  <w:style w:type="paragraph" w:styleId="978">
    <w:name w:val="Heading 8"/>
    <w:basedOn w:val="1142"/>
    <w:next w:val="1142"/>
    <w:link w:val="979"/>
    <w:uiPriority w:val="9"/>
    <w:unhideWhenUsed/>
    <w:qFormat/>
    <w:pPr>
      <w:keepLines/>
      <w:keepNext/>
      <w:spacing w:before="320" w:after="200"/>
      <w:outlineLvl w:val="7"/>
    </w:pPr>
    <w:rPr>
      <w:rFonts w:ascii="Arial" w:hAnsi="Arial" w:eastAsia="Arial" w:cs="Arial"/>
      <w:i/>
      <w:iCs/>
      <w:sz w:val="22"/>
      <w:szCs w:val="22"/>
    </w:rPr>
  </w:style>
  <w:style w:type="character" w:styleId="979">
    <w:name w:val="Heading 8 Char"/>
    <w:link w:val="978"/>
    <w:uiPriority w:val="9"/>
    <w:rPr>
      <w:rFonts w:ascii="Arial" w:hAnsi="Arial" w:eastAsia="Arial" w:cs="Arial"/>
      <w:i/>
      <w:iCs/>
      <w:sz w:val="22"/>
      <w:szCs w:val="22"/>
    </w:rPr>
  </w:style>
  <w:style w:type="paragraph" w:styleId="980">
    <w:name w:val="Heading 9"/>
    <w:basedOn w:val="1142"/>
    <w:next w:val="1142"/>
    <w:link w:val="981"/>
    <w:uiPriority w:val="9"/>
    <w:unhideWhenUsed/>
    <w:qFormat/>
    <w:pPr>
      <w:keepLines/>
      <w:keepNext/>
      <w:spacing w:before="320" w:after="200"/>
      <w:outlineLvl w:val="8"/>
    </w:pPr>
    <w:rPr>
      <w:rFonts w:ascii="Arial" w:hAnsi="Arial" w:eastAsia="Arial" w:cs="Arial"/>
      <w:i/>
      <w:iCs/>
      <w:sz w:val="21"/>
      <w:szCs w:val="21"/>
    </w:rPr>
  </w:style>
  <w:style w:type="character" w:styleId="981">
    <w:name w:val="Heading 9 Char"/>
    <w:link w:val="980"/>
    <w:uiPriority w:val="9"/>
    <w:rPr>
      <w:rFonts w:ascii="Arial" w:hAnsi="Arial" w:eastAsia="Arial" w:cs="Arial"/>
      <w:i/>
      <w:iCs/>
      <w:sz w:val="21"/>
      <w:szCs w:val="21"/>
    </w:rPr>
  </w:style>
  <w:style w:type="paragraph" w:styleId="982">
    <w:name w:val="List Paragraph"/>
    <w:basedOn w:val="1142"/>
    <w:uiPriority w:val="34"/>
    <w:qFormat/>
    <w:pPr>
      <w:contextualSpacing/>
      <w:ind w:left="720"/>
    </w:pPr>
  </w:style>
  <w:style w:type="paragraph" w:styleId="983">
    <w:name w:val="No Spacing"/>
    <w:uiPriority w:val="1"/>
    <w:qFormat/>
    <w:pPr>
      <w:spacing w:before="0" w:after="0" w:line="240" w:lineRule="auto"/>
    </w:pPr>
  </w:style>
  <w:style w:type="paragraph" w:styleId="984">
    <w:name w:val="Title"/>
    <w:basedOn w:val="1142"/>
    <w:next w:val="1142"/>
    <w:link w:val="985"/>
    <w:uiPriority w:val="10"/>
    <w:qFormat/>
    <w:pPr>
      <w:contextualSpacing/>
      <w:spacing w:before="300" w:after="200"/>
    </w:pPr>
    <w:rPr>
      <w:sz w:val="48"/>
      <w:szCs w:val="48"/>
    </w:rPr>
  </w:style>
  <w:style w:type="character" w:styleId="985">
    <w:name w:val="Title Char"/>
    <w:link w:val="984"/>
    <w:uiPriority w:val="10"/>
    <w:rPr>
      <w:sz w:val="48"/>
      <w:szCs w:val="48"/>
    </w:rPr>
  </w:style>
  <w:style w:type="paragraph" w:styleId="986">
    <w:name w:val="Subtitle"/>
    <w:basedOn w:val="1142"/>
    <w:next w:val="1142"/>
    <w:link w:val="987"/>
    <w:uiPriority w:val="11"/>
    <w:qFormat/>
    <w:pPr>
      <w:spacing w:before="200" w:after="200"/>
    </w:pPr>
    <w:rPr>
      <w:sz w:val="24"/>
      <w:szCs w:val="24"/>
    </w:rPr>
  </w:style>
  <w:style w:type="character" w:styleId="987">
    <w:name w:val="Subtitle Char"/>
    <w:link w:val="986"/>
    <w:uiPriority w:val="11"/>
    <w:rPr>
      <w:sz w:val="24"/>
      <w:szCs w:val="24"/>
    </w:rPr>
  </w:style>
  <w:style w:type="paragraph" w:styleId="988">
    <w:name w:val="Quote"/>
    <w:basedOn w:val="1142"/>
    <w:next w:val="1142"/>
    <w:link w:val="989"/>
    <w:uiPriority w:val="29"/>
    <w:qFormat/>
    <w:pPr>
      <w:ind w:left="720" w:right="720"/>
    </w:pPr>
    <w:rPr>
      <w:i/>
    </w:rPr>
  </w:style>
  <w:style w:type="character" w:styleId="989">
    <w:name w:val="Quote Char"/>
    <w:link w:val="988"/>
    <w:uiPriority w:val="29"/>
    <w:rPr>
      <w:i/>
    </w:rPr>
  </w:style>
  <w:style w:type="paragraph" w:styleId="990">
    <w:name w:val="Intense Quote"/>
    <w:basedOn w:val="1142"/>
    <w:next w:val="1142"/>
    <w:link w:val="9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91">
    <w:name w:val="Intense Quote Char"/>
    <w:link w:val="990"/>
    <w:uiPriority w:val="30"/>
    <w:rPr>
      <w:i/>
    </w:rPr>
  </w:style>
  <w:style w:type="paragraph" w:styleId="992">
    <w:name w:val="Header"/>
    <w:basedOn w:val="1142"/>
    <w:link w:val="993"/>
    <w:uiPriority w:val="99"/>
    <w:unhideWhenUsed/>
    <w:pPr>
      <w:spacing w:after="0" w:line="240" w:lineRule="auto"/>
      <w:tabs>
        <w:tab w:val="center" w:pos="7143" w:leader="none"/>
        <w:tab w:val="right" w:pos="14287" w:leader="none"/>
      </w:tabs>
    </w:pPr>
  </w:style>
  <w:style w:type="character" w:styleId="993">
    <w:name w:val="Header Char"/>
    <w:link w:val="992"/>
    <w:uiPriority w:val="99"/>
  </w:style>
  <w:style w:type="paragraph" w:styleId="994">
    <w:name w:val="Footer"/>
    <w:basedOn w:val="1142"/>
    <w:link w:val="997"/>
    <w:uiPriority w:val="99"/>
    <w:unhideWhenUsed/>
    <w:pPr>
      <w:spacing w:after="0" w:line="240" w:lineRule="auto"/>
      <w:tabs>
        <w:tab w:val="center" w:pos="7143" w:leader="none"/>
        <w:tab w:val="right" w:pos="14287" w:leader="none"/>
      </w:tabs>
    </w:pPr>
  </w:style>
  <w:style w:type="character" w:styleId="995">
    <w:name w:val="Footer Char"/>
    <w:link w:val="994"/>
    <w:uiPriority w:val="99"/>
  </w:style>
  <w:style w:type="paragraph" w:styleId="996">
    <w:name w:val="Caption"/>
    <w:basedOn w:val="1142"/>
    <w:next w:val="1142"/>
    <w:uiPriority w:val="35"/>
    <w:semiHidden/>
    <w:unhideWhenUsed/>
    <w:qFormat/>
    <w:pPr>
      <w:spacing w:line="276" w:lineRule="auto"/>
    </w:pPr>
    <w:rPr>
      <w:b/>
      <w:bCs/>
      <w:color w:val="4f81bd" w:themeColor="accent1"/>
      <w:sz w:val="18"/>
      <w:szCs w:val="18"/>
    </w:rPr>
  </w:style>
  <w:style w:type="character" w:styleId="997">
    <w:name w:val="Caption Char"/>
    <w:basedOn w:val="996"/>
    <w:link w:val="994"/>
    <w:uiPriority w:val="99"/>
  </w:style>
  <w:style w:type="table" w:styleId="99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9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0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0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0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0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0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0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0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1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1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1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1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1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1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1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1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1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1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2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2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2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3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3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3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3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3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3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3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3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3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3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4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4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4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4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4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4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4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4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5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5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5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5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5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5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5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6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6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6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6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6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6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6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6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6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6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7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7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7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7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7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7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7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8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8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8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9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9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9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9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9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9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9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9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9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9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0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0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0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0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0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0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0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0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1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1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2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2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2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2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24">
    <w:name w:val="Hyperlink"/>
    <w:uiPriority w:val="99"/>
    <w:unhideWhenUsed/>
    <w:rPr>
      <w:color w:val="0000ff" w:themeColor="hyperlink"/>
      <w:u w:val="single"/>
    </w:rPr>
  </w:style>
  <w:style w:type="paragraph" w:styleId="1125">
    <w:name w:val="footnote text"/>
    <w:basedOn w:val="1142"/>
    <w:link w:val="1126"/>
    <w:uiPriority w:val="99"/>
    <w:semiHidden/>
    <w:unhideWhenUsed/>
    <w:pPr>
      <w:spacing w:after="40" w:line="240" w:lineRule="auto"/>
    </w:pPr>
    <w:rPr>
      <w:sz w:val="18"/>
    </w:rPr>
  </w:style>
  <w:style w:type="character" w:styleId="1126">
    <w:name w:val="Footnote Text Char"/>
    <w:link w:val="1125"/>
    <w:uiPriority w:val="99"/>
    <w:rPr>
      <w:sz w:val="18"/>
    </w:rPr>
  </w:style>
  <w:style w:type="character" w:styleId="1127">
    <w:name w:val="footnote reference"/>
    <w:uiPriority w:val="99"/>
    <w:unhideWhenUsed/>
    <w:rPr>
      <w:vertAlign w:val="superscript"/>
    </w:rPr>
  </w:style>
  <w:style w:type="paragraph" w:styleId="1128">
    <w:name w:val="endnote text"/>
    <w:basedOn w:val="1142"/>
    <w:link w:val="1129"/>
    <w:uiPriority w:val="99"/>
    <w:semiHidden/>
    <w:unhideWhenUsed/>
    <w:pPr>
      <w:spacing w:after="0" w:line="240" w:lineRule="auto"/>
    </w:pPr>
    <w:rPr>
      <w:sz w:val="20"/>
    </w:rPr>
  </w:style>
  <w:style w:type="character" w:styleId="1129">
    <w:name w:val="Endnote Text Char"/>
    <w:link w:val="1128"/>
    <w:uiPriority w:val="99"/>
    <w:rPr>
      <w:sz w:val="20"/>
    </w:rPr>
  </w:style>
  <w:style w:type="character" w:styleId="1130">
    <w:name w:val="endnote reference"/>
    <w:uiPriority w:val="99"/>
    <w:semiHidden/>
    <w:unhideWhenUsed/>
    <w:rPr>
      <w:vertAlign w:val="superscript"/>
    </w:rPr>
  </w:style>
  <w:style w:type="paragraph" w:styleId="1131">
    <w:name w:val="toc 1"/>
    <w:basedOn w:val="1142"/>
    <w:next w:val="1142"/>
    <w:uiPriority w:val="39"/>
    <w:unhideWhenUsed/>
    <w:pPr>
      <w:ind w:left="0" w:right="0" w:firstLine="0"/>
      <w:spacing w:after="57"/>
    </w:pPr>
  </w:style>
  <w:style w:type="paragraph" w:styleId="1132">
    <w:name w:val="toc 2"/>
    <w:basedOn w:val="1142"/>
    <w:next w:val="1142"/>
    <w:uiPriority w:val="39"/>
    <w:unhideWhenUsed/>
    <w:pPr>
      <w:ind w:left="283" w:right="0" w:firstLine="0"/>
      <w:spacing w:after="57"/>
    </w:pPr>
  </w:style>
  <w:style w:type="paragraph" w:styleId="1133">
    <w:name w:val="toc 3"/>
    <w:basedOn w:val="1142"/>
    <w:next w:val="1142"/>
    <w:uiPriority w:val="39"/>
    <w:unhideWhenUsed/>
    <w:pPr>
      <w:ind w:left="567" w:right="0" w:firstLine="0"/>
      <w:spacing w:after="57"/>
    </w:pPr>
  </w:style>
  <w:style w:type="paragraph" w:styleId="1134">
    <w:name w:val="toc 4"/>
    <w:basedOn w:val="1142"/>
    <w:next w:val="1142"/>
    <w:uiPriority w:val="39"/>
    <w:unhideWhenUsed/>
    <w:pPr>
      <w:ind w:left="850" w:right="0" w:firstLine="0"/>
      <w:spacing w:after="57"/>
    </w:pPr>
  </w:style>
  <w:style w:type="paragraph" w:styleId="1135">
    <w:name w:val="toc 5"/>
    <w:basedOn w:val="1142"/>
    <w:next w:val="1142"/>
    <w:uiPriority w:val="39"/>
    <w:unhideWhenUsed/>
    <w:pPr>
      <w:ind w:left="1134" w:right="0" w:firstLine="0"/>
      <w:spacing w:after="57"/>
    </w:pPr>
  </w:style>
  <w:style w:type="paragraph" w:styleId="1136">
    <w:name w:val="toc 6"/>
    <w:basedOn w:val="1142"/>
    <w:next w:val="1142"/>
    <w:uiPriority w:val="39"/>
    <w:unhideWhenUsed/>
    <w:pPr>
      <w:ind w:left="1417" w:right="0" w:firstLine="0"/>
      <w:spacing w:after="57"/>
    </w:pPr>
  </w:style>
  <w:style w:type="paragraph" w:styleId="1137">
    <w:name w:val="toc 7"/>
    <w:basedOn w:val="1142"/>
    <w:next w:val="1142"/>
    <w:uiPriority w:val="39"/>
    <w:unhideWhenUsed/>
    <w:pPr>
      <w:ind w:left="1701" w:right="0" w:firstLine="0"/>
      <w:spacing w:after="57"/>
    </w:pPr>
  </w:style>
  <w:style w:type="paragraph" w:styleId="1138">
    <w:name w:val="toc 8"/>
    <w:basedOn w:val="1142"/>
    <w:next w:val="1142"/>
    <w:uiPriority w:val="39"/>
    <w:unhideWhenUsed/>
    <w:pPr>
      <w:ind w:left="1984" w:right="0" w:firstLine="0"/>
      <w:spacing w:after="57"/>
    </w:pPr>
  </w:style>
  <w:style w:type="paragraph" w:styleId="1139">
    <w:name w:val="toc 9"/>
    <w:basedOn w:val="1142"/>
    <w:next w:val="1142"/>
    <w:uiPriority w:val="39"/>
    <w:unhideWhenUsed/>
    <w:pPr>
      <w:ind w:left="2268" w:right="0" w:firstLine="0"/>
      <w:spacing w:after="57"/>
    </w:pPr>
  </w:style>
  <w:style w:type="paragraph" w:styleId="1140">
    <w:name w:val="TOC Heading"/>
    <w:uiPriority w:val="39"/>
    <w:unhideWhenUsed/>
  </w:style>
  <w:style w:type="paragraph" w:styleId="1141">
    <w:name w:val="table of figures"/>
    <w:basedOn w:val="1142"/>
    <w:next w:val="1142"/>
    <w:uiPriority w:val="99"/>
    <w:unhideWhenUsed/>
    <w:pPr>
      <w:spacing w:after="0" w:afterAutospacing="0"/>
    </w:pPr>
  </w:style>
  <w:style w:type="paragraph" w:styleId="1142" w:default="1">
    <w:name w:val="Normal"/>
    <w:next w:val="1142"/>
    <w:link w:val="1142"/>
    <w:qFormat/>
    <w:rPr>
      <w:sz w:val="24"/>
      <w:szCs w:val="24"/>
      <w:lang w:val="ru-RU" w:eastAsia="ru-RU" w:bidi="ar-SA"/>
    </w:rPr>
  </w:style>
  <w:style w:type="paragraph" w:styleId="1143">
    <w:name w:val="Заголовок 1"/>
    <w:basedOn w:val="1142"/>
    <w:next w:val="1142"/>
    <w:link w:val="1142"/>
    <w:qFormat/>
    <w:pPr>
      <w:keepNext/>
      <w:spacing w:before="240" w:after="60"/>
      <w:outlineLvl w:val="0"/>
    </w:pPr>
    <w:rPr>
      <w:rFonts w:ascii="Arial" w:hAnsi="Arial" w:cs="Arial"/>
      <w:b/>
      <w:bCs/>
      <w:sz w:val="32"/>
      <w:szCs w:val="32"/>
    </w:rPr>
  </w:style>
  <w:style w:type="paragraph" w:styleId="1144">
    <w:name w:val="Заголовок 2"/>
    <w:basedOn w:val="1142"/>
    <w:next w:val="1142"/>
    <w:link w:val="1155"/>
    <w:qFormat/>
    <w:pPr>
      <w:jc w:val="both"/>
      <w:keepNext/>
      <w:spacing w:before="240" w:after="60"/>
      <w:outlineLvl w:val="1"/>
    </w:pPr>
    <w:rPr>
      <w:b/>
      <w:bCs/>
      <w:i/>
      <w:iCs/>
    </w:rPr>
  </w:style>
  <w:style w:type="paragraph" w:styleId="1145">
    <w:name w:val="Заголовок 3"/>
    <w:basedOn w:val="1142"/>
    <w:next w:val="1142"/>
    <w:link w:val="1156"/>
    <w:qFormat/>
    <w:pPr>
      <w:keepNext/>
      <w:spacing w:before="240" w:after="60"/>
      <w:outlineLvl w:val="2"/>
    </w:pPr>
    <w:rPr>
      <w:rFonts w:ascii="Cambria" w:hAnsi="Cambria"/>
      <w:b/>
      <w:bCs/>
      <w:sz w:val="26"/>
      <w:szCs w:val="26"/>
      <w:lang w:val="en-US" w:eastAsia="en-US"/>
    </w:rPr>
  </w:style>
  <w:style w:type="paragraph" w:styleId="1146">
    <w:name w:val="Заголовок 4"/>
    <w:basedOn w:val="1142"/>
    <w:next w:val="1142"/>
    <w:link w:val="1157"/>
    <w:qFormat/>
    <w:pPr>
      <w:jc w:val="center"/>
      <w:keepNext/>
      <w:outlineLvl w:val="3"/>
    </w:pPr>
    <w:rPr>
      <w:b/>
      <w:bCs/>
      <w:sz w:val="22"/>
      <w:szCs w:val="28"/>
      <w:lang w:val="en-US" w:eastAsia="en-US"/>
    </w:rPr>
  </w:style>
  <w:style w:type="paragraph" w:styleId="1147">
    <w:name w:val="Заголовок 5"/>
    <w:basedOn w:val="1142"/>
    <w:next w:val="1142"/>
    <w:link w:val="1196"/>
    <w:qFormat/>
    <w:pPr>
      <w:spacing w:before="240" w:after="60"/>
      <w:outlineLvl w:val="4"/>
    </w:pPr>
    <w:rPr>
      <w:b/>
      <w:bCs/>
      <w:i/>
      <w:iCs/>
      <w:sz w:val="26"/>
      <w:szCs w:val="26"/>
    </w:rPr>
  </w:style>
  <w:style w:type="paragraph" w:styleId="1148">
    <w:name w:val="Заголовок 6"/>
    <w:basedOn w:val="1142"/>
    <w:next w:val="1142"/>
    <w:link w:val="1199"/>
    <w:qFormat/>
    <w:pPr>
      <w:spacing w:before="240" w:after="60"/>
      <w:outlineLvl w:val="5"/>
    </w:pPr>
    <w:rPr>
      <w:rFonts w:eastAsia="Times New Roman" w:cs="Times New Roman"/>
      <w:b/>
      <w:bCs/>
      <w:szCs w:val="22"/>
    </w:rPr>
  </w:style>
  <w:style w:type="paragraph" w:styleId="1149">
    <w:name w:val="Заголовок 7"/>
    <w:basedOn w:val="1142"/>
    <w:next w:val="1142"/>
    <w:link w:val="1200"/>
    <w:qFormat/>
    <w:pPr>
      <w:spacing w:before="240" w:after="60"/>
      <w:outlineLvl w:val="6"/>
    </w:pPr>
    <w:rPr>
      <w:rFonts w:ascii="Calibri" w:hAnsi="Calibri" w:eastAsia="Times New Roman" w:cs="Times New Roman"/>
    </w:rPr>
  </w:style>
  <w:style w:type="paragraph" w:styleId="1150">
    <w:name w:val="Заголовок 8"/>
    <w:basedOn w:val="1142"/>
    <w:next w:val="1142"/>
    <w:link w:val="1142"/>
    <w:qFormat/>
    <w:pPr>
      <w:spacing w:before="240" w:after="60"/>
      <w:outlineLvl w:val="7"/>
    </w:pPr>
    <w:rPr>
      <w:i/>
      <w:iCs/>
    </w:rPr>
  </w:style>
  <w:style w:type="paragraph" w:styleId="1151">
    <w:name w:val="Заголовок 9"/>
    <w:basedOn w:val="1142"/>
    <w:next w:val="1142"/>
    <w:link w:val="1201"/>
    <w:qFormat/>
    <w:pPr>
      <w:spacing w:before="240" w:after="60"/>
      <w:outlineLvl w:val="8"/>
    </w:pPr>
    <w:rPr>
      <w:rFonts w:ascii="Calibri Light" w:hAnsi="Calibri Light" w:eastAsia="Times New Roman" w:cs="Times New Roman"/>
      <w:sz w:val="22"/>
      <w:szCs w:val="22"/>
    </w:rPr>
  </w:style>
  <w:style w:type="character" w:styleId="1152">
    <w:name w:val="Основной шрифт абзаца"/>
    <w:next w:val="1152"/>
    <w:link w:val="1142"/>
    <w:semiHidden/>
  </w:style>
  <w:style w:type="table" w:styleId="1153">
    <w:name w:val="Обычная таблица"/>
    <w:next w:val="1153"/>
    <w:link w:val="1142"/>
    <w:semiHidden/>
    <w:tblPr/>
  </w:style>
  <w:style w:type="numbering" w:styleId="1154">
    <w:name w:val="Нет списка"/>
    <w:next w:val="1154"/>
    <w:link w:val="1142"/>
    <w:uiPriority w:val="99"/>
    <w:semiHidden/>
  </w:style>
  <w:style w:type="character" w:styleId="1155">
    <w:name w:val="Заголовок 2 Знак"/>
    <w:next w:val="1155"/>
    <w:link w:val="1144"/>
    <w:rPr>
      <w:b/>
      <w:bCs/>
      <w:i/>
      <w:iCs/>
      <w:sz w:val="24"/>
      <w:szCs w:val="24"/>
    </w:rPr>
  </w:style>
  <w:style w:type="character" w:styleId="1156">
    <w:name w:val="Заголовок 3 Знак"/>
    <w:next w:val="1156"/>
    <w:link w:val="1145"/>
    <w:rPr>
      <w:rFonts w:ascii="Cambria" w:hAnsi="Cambria"/>
      <w:b/>
      <w:bCs/>
      <w:sz w:val="26"/>
      <w:szCs w:val="26"/>
      <w:lang w:val="en-US" w:eastAsia="en-US"/>
    </w:rPr>
  </w:style>
  <w:style w:type="character" w:styleId="1157">
    <w:name w:val="Заголовок 4 Знак"/>
    <w:next w:val="1157"/>
    <w:link w:val="1146"/>
    <w:rPr>
      <w:b/>
      <w:bCs/>
      <w:sz w:val="22"/>
      <w:szCs w:val="28"/>
      <w:lang w:val="en-US" w:eastAsia="en-US"/>
    </w:rPr>
  </w:style>
  <w:style w:type="paragraph" w:styleId="1158">
    <w:name w:val="Без интервала"/>
    <w:next w:val="1158"/>
    <w:link w:val="1159"/>
    <w:qFormat/>
    <w:rPr>
      <w:rFonts w:ascii="Calibri" w:hAnsi="Calibri"/>
      <w:sz w:val="22"/>
      <w:szCs w:val="22"/>
      <w:lang w:val="ru-RU" w:eastAsia="en-US" w:bidi="ar-SA"/>
    </w:rPr>
  </w:style>
  <w:style w:type="character" w:styleId="1159">
    <w:name w:val="Без интервала Знак"/>
    <w:next w:val="1159"/>
    <w:link w:val="1158"/>
    <w:rPr>
      <w:rFonts w:ascii="Calibri" w:hAnsi="Calibri"/>
      <w:sz w:val="22"/>
      <w:szCs w:val="22"/>
      <w:lang w:val="ru-RU" w:eastAsia="en-US" w:bidi="ar-SA"/>
    </w:rPr>
  </w:style>
  <w:style w:type="character" w:styleId="1160">
    <w:name w:val="Гиперссылка"/>
    <w:next w:val="1160"/>
    <w:link w:val="1142"/>
    <w:uiPriority w:val="99"/>
    <w:unhideWhenUsed/>
    <w:rPr>
      <w:rFonts w:ascii="Times New Roman" w:hAnsi="Times New Roman"/>
      <w:color w:val="0000ff"/>
      <w:sz w:val="24"/>
      <w:u w:val="none"/>
      <w:vertAlign w:val="baseline"/>
    </w:rPr>
  </w:style>
  <w:style w:type="paragraph" w:styleId="1161">
    <w:name w:val="Оглавление 2"/>
    <w:basedOn w:val="1142"/>
    <w:next w:val="1142"/>
    <w:link w:val="1142"/>
    <w:uiPriority w:val="39"/>
    <w:pPr>
      <w:ind w:left="240"/>
    </w:pPr>
    <w:rPr>
      <w:rFonts w:ascii="Calibri" w:hAnsi="Calibri"/>
      <w:smallCaps/>
      <w:sz w:val="20"/>
      <w:szCs w:val="20"/>
    </w:rPr>
  </w:style>
  <w:style w:type="paragraph" w:styleId="1162">
    <w:name w:val="Оглавление 1"/>
    <w:basedOn w:val="1142"/>
    <w:next w:val="1142"/>
    <w:link w:val="1142"/>
    <w:uiPriority w:val="39"/>
    <w:pPr>
      <w:spacing w:before="120" w:after="120"/>
    </w:pPr>
    <w:rPr>
      <w:bCs/>
      <w:caps/>
      <w:sz w:val="22"/>
      <w:szCs w:val="20"/>
    </w:rPr>
  </w:style>
  <w:style w:type="paragraph" w:styleId="1163">
    <w:name w:val="Верхний колонтитул"/>
    <w:basedOn w:val="1142"/>
    <w:next w:val="1163"/>
    <w:link w:val="1164"/>
    <w:uiPriority w:val="99"/>
    <w:pPr>
      <w:tabs>
        <w:tab w:val="center" w:pos="4677" w:leader="none"/>
        <w:tab w:val="right" w:pos="9355" w:leader="none"/>
      </w:tabs>
    </w:pPr>
    <w:rPr>
      <w:lang w:val="en-US" w:eastAsia="en-US"/>
    </w:rPr>
  </w:style>
  <w:style w:type="character" w:styleId="1164">
    <w:name w:val="Верхний колонтитул Знак"/>
    <w:next w:val="1164"/>
    <w:link w:val="1163"/>
    <w:uiPriority w:val="99"/>
    <w:rPr>
      <w:sz w:val="24"/>
      <w:szCs w:val="24"/>
    </w:rPr>
  </w:style>
  <w:style w:type="paragraph" w:styleId="1165">
    <w:name w:val="Основной текст,Основной текст_отчет,bt"/>
    <w:basedOn w:val="1142"/>
    <w:next w:val="1165"/>
    <w:link w:val="1166"/>
    <w:rPr>
      <w:b/>
      <w:bCs/>
      <w:lang w:val="en-US" w:eastAsia="en-US"/>
    </w:rPr>
  </w:style>
  <w:style w:type="character" w:styleId="1166">
    <w:name w:val="Основной текст Знак,Основной текст_отчет Знак,bt Знак"/>
    <w:next w:val="1166"/>
    <w:link w:val="1165"/>
    <w:rPr>
      <w:b/>
      <w:bCs/>
      <w:sz w:val="24"/>
      <w:szCs w:val="24"/>
    </w:rPr>
  </w:style>
  <w:style w:type="paragraph" w:styleId="1167">
    <w:name w:val="Цитата"/>
    <w:basedOn w:val="1142"/>
    <w:next w:val="1167"/>
    <w:link w:val="1142"/>
    <w:pPr>
      <w:ind w:left="-108" w:right="-108"/>
      <w:jc w:val="center"/>
    </w:pPr>
    <w:rPr>
      <w:b/>
      <w:bCs/>
    </w:rPr>
  </w:style>
  <w:style w:type="paragraph" w:styleId="1168">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42"/>
    <w:next w:val="1168"/>
    <w:link w:val="1169"/>
    <w:pPr>
      <w:jc w:val="both"/>
    </w:pPr>
    <w:rPr>
      <w:b/>
      <w:bCs/>
      <w:lang w:val="en-US" w:eastAsia="en-US"/>
    </w:rPr>
  </w:style>
  <w:style w:type="character" w:styleId="1169">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69"/>
    <w:link w:val="1168"/>
    <w:rPr>
      <w:b/>
      <w:bCs/>
      <w:sz w:val="24"/>
      <w:szCs w:val="24"/>
    </w:rPr>
  </w:style>
  <w:style w:type="paragraph" w:styleId="1170">
    <w:name w:val="Основной текст с отступом 2"/>
    <w:basedOn w:val="1142"/>
    <w:next w:val="1170"/>
    <w:link w:val="1185"/>
    <w:pPr>
      <w:ind w:firstLine="708"/>
      <w:jc w:val="both"/>
    </w:pPr>
    <w:rPr>
      <w:sz w:val="22"/>
      <w:szCs w:val="22"/>
      <w:lang w:val="en-US" w:eastAsia="en-US"/>
    </w:rPr>
  </w:style>
  <w:style w:type="paragraph" w:styleId="117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42"/>
    <w:next w:val="1171"/>
    <w:link w:val="1186"/>
    <w:qFormat/>
    <w:rPr>
      <w:sz w:val="20"/>
      <w:szCs w:val="20"/>
    </w:rPr>
  </w:style>
  <w:style w:type="paragraph" w:styleId="1172">
    <w:name w:val="Основной текст с отступом 3"/>
    <w:basedOn w:val="1142"/>
    <w:next w:val="1172"/>
    <w:link w:val="1142"/>
    <w:pPr>
      <w:ind w:left="283"/>
      <w:spacing w:after="120"/>
    </w:pPr>
    <w:rPr>
      <w:sz w:val="16"/>
      <w:szCs w:val="16"/>
    </w:rPr>
  </w:style>
  <w:style w:type="paragraph" w:styleId="1173">
    <w:name w:val="Основной текст 2"/>
    <w:basedOn w:val="1142"/>
    <w:next w:val="1173"/>
    <w:link w:val="1142"/>
    <w:pPr>
      <w:jc w:val="both"/>
      <w:spacing w:before="120" w:after="120"/>
    </w:pPr>
  </w:style>
  <w:style w:type="character" w:styleId="117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74"/>
    <w:link w:val="1142"/>
    <w:qFormat/>
    <w:rPr>
      <w:vertAlign w:val="superscript"/>
    </w:rPr>
  </w:style>
  <w:style w:type="paragraph" w:styleId="1175">
    <w:name w:val="Текст выноски"/>
    <w:basedOn w:val="1142"/>
    <w:next w:val="1175"/>
    <w:link w:val="1191"/>
    <w:uiPriority w:val="99"/>
    <w:semiHidden/>
    <w:rPr>
      <w:rFonts w:ascii="Tahoma" w:hAnsi="Tahoma" w:cs="Tahoma"/>
      <w:sz w:val="16"/>
      <w:szCs w:val="16"/>
    </w:rPr>
  </w:style>
  <w:style w:type="paragraph" w:styleId="1176">
    <w:name w:val="Нижний колонтитул"/>
    <w:basedOn w:val="1142"/>
    <w:next w:val="1176"/>
    <w:link w:val="1177"/>
    <w:uiPriority w:val="99"/>
    <w:pPr>
      <w:tabs>
        <w:tab w:val="center" w:pos="4677" w:leader="none"/>
        <w:tab w:val="right" w:pos="9355" w:leader="none"/>
      </w:tabs>
    </w:pPr>
    <w:rPr>
      <w:lang w:val="en-US" w:eastAsia="en-US"/>
    </w:rPr>
  </w:style>
  <w:style w:type="character" w:styleId="1177">
    <w:name w:val="Нижний колонтитул Знак"/>
    <w:next w:val="1177"/>
    <w:link w:val="1176"/>
    <w:uiPriority w:val="99"/>
    <w:rPr>
      <w:sz w:val="24"/>
      <w:szCs w:val="24"/>
    </w:rPr>
  </w:style>
  <w:style w:type="paragraph" w:styleId="1178">
    <w:name w:val="Оглавление 3"/>
    <w:basedOn w:val="1142"/>
    <w:next w:val="1142"/>
    <w:link w:val="1142"/>
    <w:semiHidden/>
    <w:pPr>
      <w:ind w:left="480"/>
    </w:pPr>
    <w:rPr>
      <w:rFonts w:ascii="Calibri" w:hAnsi="Calibri"/>
      <w:i/>
      <w:iCs/>
      <w:sz w:val="20"/>
      <w:szCs w:val="20"/>
    </w:rPr>
  </w:style>
  <w:style w:type="paragraph" w:styleId="1179">
    <w:name w:val="Оглавление 4"/>
    <w:basedOn w:val="1142"/>
    <w:next w:val="1142"/>
    <w:link w:val="1142"/>
    <w:semiHidden/>
    <w:pPr>
      <w:ind w:left="720"/>
    </w:pPr>
    <w:rPr>
      <w:rFonts w:ascii="Calibri" w:hAnsi="Calibri"/>
      <w:sz w:val="18"/>
      <w:szCs w:val="18"/>
    </w:rPr>
  </w:style>
  <w:style w:type="paragraph" w:styleId="1180">
    <w:name w:val="Оглавление 5"/>
    <w:basedOn w:val="1142"/>
    <w:next w:val="1142"/>
    <w:link w:val="1142"/>
    <w:semiHidden/>
    <w:pPr>
      <w:ind w:left="960"/>
    </w:pPr>
    <w:rPr>
      <w:rFonts w:ascii="Calibri" w:hAnsi="Calibri"/>
      <w:sz w:val="18"/>
      <w:szCs w:val="18"/>
    </w:rPr>
  </w:style>
  <w:style w:type="paragraph" w:styleId="1181">
    <w:name w:val="Оглавление 6"/>
    <w:basedOn w:val="1142"/>
    <w:next w:val="1142"/>
    <w:link w:val="1142"/>
    <w:semiHidden/>
    <w:pPr>
      <w:ind w:left="1200"/>
    </w:pPr>
    <w:rPr>
      <w:rFonts w:ascii="Calibri" w:hAnsi="Calibri"/>
      <w:sz w:val="18"/>
      <w:szCs w:val="18"/>
    </w:rPr>
  </w:style>
  <w:style w:type="paragraph" w:styleId="1182">
    <w:name w:val="Оглавление 7"/>
    <w:basedOn w:val="1142"/>
    <w:next w:val="1142"/>
    <w:link w:val="1142"/>
    <w:semiHidden/>
    <w:pPr>
      <w:ind w:left="1440"/>
    </w:pPr>
    <w:rPr>
      <w:rFonts w:ascii="Calibri" w:hAnsi="Calibri"/>
      <w:sz w:val="18"/>
      <w:szCs w:val="18"/>
    </w:rPr>
  </w:style>
  <w:style w:type="paragraph" w:styleId="1183">
    <w:name w:val="Оглавление 8"/>
    <w:basedOn w:val="1142"/>
    <w:next w:val="1142"/>
    <w:link w:val="1142"/>
    <w:semiHidden/>
    <w:pPr>
      <w:ind w:left="1680"/>
    </w:pPr>
    <w:rPr>
      <w:rFonts w:ascii="Calibri" w:hAnsi="Calibri"/>
      <w:sz w:val="18"/>
      <w:szCs w:val="18"/>
    </w:rPr>
  </w:style>
  <w:style w:type="paragraph" w:styleId="1184">
    <w:name w:val="Оглавление 9"/>
    <w:basedOn w:val="1142"/>
    <w:next w:val="1142"/>
    <w:link w:val="1142"/>
    <w:semiHidden/>
    <w:pPr>
      <w:ind w:left="1920"/>
    </w:pPr>
    <w:rPr>
      <w:rFonts w:ascii="Calibri" w:hAnsi="Calibri"/>
      <w:sz w:val="18"/>
      <w:szCs w:val="18"/>
    </w:rPr>
  </w:style>
  <w:style w:type="character" w:styleId="1185">
    <w:name w:val="Основной текст с отступом 2 Знак"/>
    <w:next w:val="1185"/>
    <w:link w:val="1170"/>
    <w:rPr>
      <w:sz w:val="22"/>
      <w:szCs w:val="22"/>
    </w:rPr>
  </w:style>
  <w:style w:type="character" w:styleId="118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6"/>
    <w:link w:val="1171"/>
  </w:style>
  <w:style w:type="paragraph" w:styleId="1187">
    <w:name w:val="Нормальный"/>
    <w:next w:val="1187"/>
    <w:link w:val="1142"/>
    <w:rPr>
      <w:rFonts w:ascii="TimesET" w:hAnsi="TimesET" w:cs="TimesET"/>
      <w:b/>
      <w:bCs/>
      <w:i/>
      <w:iCs/>
      <w:smallCaps/>
      <w:sz w:val="24"/>
      <w:szCs w:val="24"/>
      <w:lang w:val="ru-RU" w:eastAsia="ru-RU" w:bidi="ar-SA"/>
    </w:rPr>
  </w:style>
  <w:style w:type="paragraph" w:styleId="1188">
    <w:name w:val="Default"/>
    <w:next w:val="1188"/>
    <w:link w:val="1142"/>
    <w:rPr>
      <w:rFonts w:eastAsia="Calibri"/>
      <w:color w:val="000000"/>
      <w:sz w:val="24"/>
      <w:szCs w:val="24"/>
      <w:lang w:val="ru-RU" w:eastAsia="ru-RU" w:bidi="ar-SA"/>
    </w:rPr>
  </w:style>
  <w:style w:type="numbering" w:styleId="1189">
    <w:name w:val="Нет списка1"/>
    <w:next w:val="1154"/>
    <w:link w:val="1142"/>
    <w:uiPriority w:val="99"/>
    <w:semiHidden/>
    <w:unhideWhenUsed/>
  </w:style>
  <w:style w:type="paragraph" w:styleId="1190">
    <w:name w:val="Абзац списка"/>
    <w:basedOn w:val="1142"/>
    <w:next w:val="1190"/>
    <w:link w:val="1142"/>
    <w:uiPriority w:val="34"/>
    <w:qFormat/>
    <w:pPr>
      <w:contextualSpacing/>
      <w:ind w:left="720"/>
      <w:spacing w:after="200" w:line="276" w:lineRule="auto"/>
    </w:pPr>
    <w:rPr>
      <w:rFonts w:ascii="Calibri" w:hAnsi="Calibri" w:eastAsia="Calibri"/>
      <w:sz w:val="22"/>
      <w:szCs w:val="22"/>
      <w:lang w:eastAsia="en-US"/>
    </w:rPr>
  </w:style>
  <w:style w:type="character" w:styleId="1191">
    <w:name w:val="Текст выноски Знак"/>
    <w:next w:val="1191"/>
    <w:link w:val="1175"/>
    <w:uiPriority w:val="99"/>
    <w:semiHidden/>
    <w:rPr>
      <w:rFonts w:ascii="Tahoma" w:hAnsi="Tahoma" w:cs="Tahoma"/>
      <w:sz w:val="16"/>
      <w:szCs w:val="16"/>
    </w:rPr>
  </w:style>
  <w:style w:type="paragraph" w:styleId="1192">
    <w:name w:val="Заголовок"/>
    <w:basedOn w:val="1142"/>
    <w:next w:val="1142"/>
    <w:link w:val="1193"/>
    <w:qFormat/>
    <w:pPr>
      <w:jc w:val="center"/>
      <w:spacing w:before="240" w:after="60"/>
      <w:outlineLvl w:val="0"/>
    </w:pPr>
    <w:rPr>
      <w:rFonts w:ascii="Calibri Light" w:hAnsi="Calibri Light" w:eastAsia="Times New Roman" w:cs="Times New Roman"/>
      <w:b/>
      <w:bCs/>
      <w:sz w:val="32"/>
      <w:szCs w:val="32"/>
    </w:rPr>
  </w:style>
  <w:style w:type="character" w:styleId="1193">
    <w:name w:val="Заголовок Знак"/>
    <w:next w:val="1193"/>
    <w:link w:val="1192"/>
    <w:rPr>
      <w:rFonts w:ascii="Calibri Light" w:hAnsi="Calibri Light" w:eastAsia="Times New Roman" w:cs="Times New Roman"/>
      <w:b/>
      <w:bCs/>
      <w:sz w:val="32"/>
      <w:szCs w:val="32"/>
    </w:rPr>
  </w:style>
  <w:style w:type="paragraph" w:styleId="1194">
    <w:name w:val="Подзаголовок"/>
    <w:basedOn w:val="1142"/>
    <w:next w:val="1142"/>
    <w:link w:val="1195"/>
    <w:qFormat/>
    <w:pPr>
      <w:jc w:val="center"/>
      <w:spacing w:after="60"/>
      <w:outlineLvl w:val="1"/>
    </w:pPr>
    <w:rPr>
      <w:rFonts w:ascii="Calibri Light" w:hAnsi="Calibri Light" w:eastAsia="Times New Roman" w:cs="Times New Roman"/>
    </w:rPr>
  </w:style>
  <w:style w:type="character" w:styleId="1195">
    <w:name w:val="Подзаголовок Знак"/>
    <w:next w:val="1195"/>
    <w:link w:val="1194"/>
    <w:rPr>
      <w:rFonts w:ascii="Calibri Light" w:hAnsi="Calibri Light" w:eastAsia="Times New Roman" w:cs="Times New Roman"/>
      <w:sz w:val="24"/>
      <w:szCs w:val="24"/>
    </w:rPr>
  </w:style>
  <w:style w:type="character" w:styleId="1196">
    <w:name w:val="Заголовок 5 Знак"/>
    <w:next w:val="1196"/>
    <w:link w:val="1147"/>
    <w:rPr>
      <w:b/>
      <w:bCs/>
      <w:i/>
      <w:iCs/>
      <w:sz w:val="26"/>
      <w:szCs w:val="26"/>
    </w:rPr>
  </w:style>
  <w:style w:type="paragraph" w:styleId="1197">
    <w:name w:val="msonormal"/>
    <w:basedOn w:val="1142"/>
    <w:next w:val="1197"/>
    <w:link w:val="1142"/>
    <w:pPr>
      <w:spacing w:before="100" w:beforeAutospacing="1" w:after="100" w:afterAutospacing="1"/>
    </w:pPr>
  </w:style>
  <w:style w:type="character" w:styleId="1198">
    <w:name w:val="Выделение"/>
    <w:next w:val="1198"/>
    <w:link w:val="1142"/>
    <w:qFormat/>
    <w:rPr>
      <w:i/>
      <w:iCs/>
    </w:rPr>
  </w:style>
  <w:style w:type="character" w:styleId="1199">
    <w:name w:val="Заголовок 6 Знак"/>
    <w:next w:val="1199"/>
    <w:link w:val="1148"/>
    <w:rPr>
      <w:b/>
      <w:bCs/>
      <w:sz w:val="24"/>
      <w:szCs w:val="22"/>
    </w:rPr>
  </w:style>
  <w:style w:type="character" w:styleId="1200">
    <w:name w:val="Заголовок 7 Знак"/>
    <w:next w:val="1200"/>
    <w:link w:val="1149"/>
    <w:rPr>
      <w:rFonts w:ascii="Calibri" w:hAnsi="Calibri"/>
      <w:sz w:val="24"/>
      <w:szCs w:val="24"/>
    </w:rPr>
  </w:style>
  <w:style w:type="character" w:styleId="1201">
    <w:name w:val="Заголовок 9 Знак"/>
    <w:next w:val="1201"/>
    <w:link w:val="1151"/>
    <w:rPr>
      <w:rFonts w:ascii="Calibri Light" w:hAnsi="Calibri Light"/>
      <w:sz w:val="22"/>
      <w:szCs w:val="22"/>
    </w:rPr>
  </w:style>
  <w:style w:type="character" w:styleId="1202">
    <w:name w:val="Знак примечания"/>
    <w:next w:val="1202"/>
    <w:link w:val="1142"/>
    <w:rPr>
      <w:sz w:val="16"/>
      <w:szCs w:val="16"/>
    </w:rPr>
  </w:style>
  <w:style w:type="paragraph" w:styleId="1203">
    <w:name w:val="Текст примечания"/>
    <w:basedOn w:val="1142"/>
    <w:next w:val="1203"/>
    <w:link w:val="1204"/>
    <w:rPr>
      <w:sz w:val="20"/>
      <w:szCs w:val="20"/>
    </w:rPr>
  </w:style>
  <w:style w:type="character" w:styleId="1204">
    <w:name w:val="Текст примечания Знак"/>
    <w:basedOn w:val="1152"/>
    <w:next w:val="1204"/>
    <w:link w:val="1203"/>
  </w:style>
  <w:style w:type="paragraph" w:styleId="1205">
    <w:name w:val="Тема примечания"/>
    <w:basedOn w:val="1203"/>
    <w:next w:val="1203"/>
    <w:link w:val="1206"/>
    <w:rPr>
      <w:b/>
      <w:bCs/>
    </w:rPr>
  </w:style>
  <w:style w:type="character" w:styleId="1206">
    <w:name w:val="Тема примечания Знак"/>
    <w:next w:val="1206"/>
    <w:link w:val="1205"/>
    <w:rPr>
      <w:b/>
      <w:bCs/>
    </w:rPr>
  </w:style>
  <w:style w:type="numbering" w:styleId="1207">
    <w:name w:val="Нет списка2"/>
    <w:next w:val="1154"/>
    <w:link w:val="1142"/>
    <w:uiPriority w:val="99"/>
    <w:semiHidden/>
    <w:unhideWhenUsed/>
  </w:style>
  <w:style w:type="character" w:styleId="1208">
    <w:name w:val="Просмотренная гиперссылка"/>
    <w:next w:val="1208"/>
    <w:link w:val="1142"/>
    <w:rPr>
      <w:color w:val="954f72"/>
      <w:u w:val="single"/>
    </w:rPr>
  </w:style>
  <w:style w:type="character" w:styleId="1209" w:default="1">
    <w:name w:val="Default Paragraph Font"/>
    <w:uiPriority w:val="1"/>
    <w:semiHidden/>
    <w:unhideWhenUsed/>
  </w:style>
  <w:style w:type="numbering" w:styleId="1210" w:default="1">
    <w:name w:val="No List"/>
    <w:uiPriority w:val="99"/>
    <w:semiHidden/>
    <w:unhideWhenUsed/>
  </w:style>
  <w:style w:type="table" w:styleId="121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15</cp:revision>
  <dcterms:created xsi:type="dcterms:W3CDTF">2024-07-23T14:00:00Z</dcterms:created>
  <dcterms:modified xsi:type="dcterms:W3CDTF">2025-01-28T13:03:38Z</dcterms:modified>
  <cp:version>1048576</cp:version>
</cp:coreProperties>
</file>