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11"/>
      </w:tblGrid>
      <w:tr w:rsidR="00963D70" w:rsidTr="009967DA">
        <w:trPr>
          <w:trHeight w:val="177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3D70" w:rsidRDefault="00963D70" w:rsidP="009967DA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КРАСНОЯРСКИЙ РЕГИОНАЛЬНЫЙ ФИЛИАЛ</w:t>
            </w:r>
          </w:p>
          <w:p w:rsidR="00963D70" w:rsidRDefault="00963D70" w:rsidP="009967DA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  <w:p w:rsidR="00963D70" w:rsidRDefault="00963D70" w:rsidP="009967DA">
            <w:pPr>
              <w:rPr>
                <w:rFonts w:eastAsia="Times New Roman"/>
              </w:rPr>
            </w:pPr>
          </w:p>
          <w:p w:rsidR="00963D70" w:rsidRDefault="00963D70" w:rsidP="009967DA">
            <w:pPr>
              <w:rPr>
                <w:rFonts w:eastAsia="Times New Roman"/>
              </w:rPr>
            </w:pPr>
          </w:p>
          <w:p w:rsidR="00963D70" w:rsidRDefault="00963D70" w:rsidP="009967DA">
            <w:pPr>
              <w:rPr>
                <w:rFonts w:eastAsia="Times New Roman"/>
              </w:rPr>
            </w:pPr>
          </w:p>
          <w:p w:rsidR="00963D70" w:rsidRDefault="00963D70" w:rsidP="009967DA">
            <w:pPr>
              <w:rPr>
                <w:rFonts w:eastAsia="Times New Roman"/>
              </w:rPr>
            </w:pPr>
          </w:p>
          <w:p w:rsidR="00963D70" w:rsidRDefault="00963D70" w:rsidP="009967DA">
            <w:pPr>
              <w:rPr>
                <w:rFonts w:eastAsia="Times New Roman"/>
              </w:rPr>
            </w:pPr>
          </w:p>
        </w:tc>
      </w:tr>
      <w:tr w:rsidR="00963D70" w:rsidTr="009967DA">
        <w:trPr>
          <w:trHeight w:val="14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63D70" w:rsidRDefault="00963D70" w:rsidP="009967DA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</w:t>
            </w:r>
          </w:p>
          <w:p w:rsidR="00963D70" w:rsidRDefault="00963D70" w:rsidP="009967DA">
            <w:pPr>
              <w:spacing w:after="0" w:line="240" w:lineRule="auto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комиссионного вознаграждения на услуги     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963D70" w:rsidTr="009967DA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963D70" w:rsidTr="009967DA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63D70" w:rsidTr="009967DA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25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>.</w:t>
            </w:r>
            <w:r>
              <w:rPr>
                <w:rFonts w:eastAsia="Times New Roman"/>
                <w:bCs/>
                <w:sz w:val="32"/>
                <w:szCs w:val="32"/>
              </w:rPr>
              <w:t>12.2024</w:t>
            </w:r>
          </w:p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963D70" w:rsidRDefault="00963D70" w:rsidP="009967DA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</w:tc>
      </w:tr>
    </w:tbl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386B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BBD" w:rsidRDefault="008F2E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Акционерное общество</w:t>
      </w:r>
    </w:p>
    <w:p w:rsidR="00386BBD" w:rsidRDefault="008F2E38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«Российский Сельскохозяйственный банк»</w:t>
      </w:r>
    </w:p>
    <w:p w:rsidR="00386BBD" w:rsidRDefault="008F2E38">
      <w:pPr>
        <w:keepNext/>
        <w:spacing w:after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(АО «Россельхозбанк»)</w:t>
      </w:r>
    </w:p>
    <w:p w:rsidR="00386BBD" w:rsidRDefault="00386BB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УТВЕРЖДЕНЫ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решениями Ресурсного комитета АО «Россельхозбанк»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26.02.2009 № 7, от 31.03.2009 № 13, от 14.07.2009 № 29,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01.08.2011 № 39, от 29.08.2011 № 45, от 27.06.2011 № 32,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14.11.2011 № 65, от 05.12.2011 № 69, от 25.01.2012 № 3,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03.05.2012 № 31, от 30.05.2012 № 35, от 29.08.2012 № 54)</w:t>
      </w:r>
    </w:p>
    <w:p w:rsidR="00386BBD" w:rsidRDefault="008F2E38">
      <w:pPr>
        <w:spacing w:before="120"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решениями Комитета по управлению 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активами и пассивами АО «Россельхозбанк»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(протоколы от 10.10.2012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 № 8, от 17.10.2012 № 9,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>от 05.12.2012 № 20, от 23.01.2013 № 8, от 05.03.2013 № 18,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от 18.04.2013 № 29, </w:t>
      </w:r>
    </w:p>
    <w:p w:rsidR="00386BBD" w:rsidRDefault="008F2E38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>11.06.2013 № 39, от 25.11.2013, № 92, 23.12.2013 № 104, от 23.06.2014 № 53, от 22.09.2014 № 88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) </w:t>
      </w:r>
    </w:p>
    <w:p w:rsidR="00386BBD" w:rsidRDefault="00386B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8F2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</w:t>
      </w:r>
    </w:p>
    <w:p w:rsidR="00386BBD" w:rsidRDefault="008F2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КОМИССИОННОГО ВОЗНАГРАЖДЕНИЯ НА УСЛУГИ</w:t>
      </w:r>
    </w:p>
    <w:p w:rsidR="00386BBD" w:rsidRDefault="008F2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«РОССЕЛЬХОЗБАНК» ЮРИДИЧЕСКИМ ЛИЦАМ, СУБЪЕКТАМ</w:t>
      </w:r>
    </w:p>
    <w:p w:rsidR="00386BBD" w:rsidRDefault="008F2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</w:p>
    <w:p w:rsidR="00386BBD" w:rsidRDefault="00386B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386B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5925"/>
      </w:tblGrid>
      <w:tr w:rsidR="00386BBD">
        <w:trPr>
          <w:trHeight w:val="851"/>
        </w:trPr>
        <w:tc>
          <w:tcPr>
            <w:tcW w:w="2011" w:type="pct"/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ССП-владелец НД:</w:t>
            </w:r>
          </w:p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386BBD">
        <w:trPr>
          <w:trHeight w:val="851"/>
        </w:trPr>
        <w:tc>
          <w:tcPr>
            <w:tcW w:w="2011" w:type="pct"/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и наименование процесса(ов):</w:t>
            </w:r>
          </w:p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386BBD">
        <w:trPr>
          <w:trHeight w:val="851"/>
        </w:trPr>
        <w:tc>
          <w:tcPr>
            <w:tcW w:w="2011" w:type="pct"/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нормативного документа:</w:t>
            </w:r>
          </w:p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1-13/04</w:t>
            </w:r>
          </w:p>
        </w:tc>
      </w:tr>
      <w:tr w:rsidR="00386BBD">
        <w:trPr>
          <w:trHeight w:val="851"/>
        </w:trPr>
        <w:tc>
          <w:tcPr>
            <w:tcW w:w="2011" w:type="pct"/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Номер версии:</w:t>
            </w:r>
          </w:p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386BBD">
        <w:trPr>
          <w:trHeight w:val="851"/>
        </w:trPr>
        <w:tc>
          <w:tcPr>
            <w:tcW w:w="2011" w:type="pct"/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Область применения:</w:t>
            </w:r>
          </w:p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ГО/ВСП ГО/РФ/ВСП РФ</w:t>
            </w:r>
          </w:p>
        </w:tc>
      </w:tr>
    </w:tbl>
    <w:p w:rsidR="00386BBD" w:rsidRDefault="008F2E3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386BBD" w:rsidT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BBD" w:rsidRDefault="008F2E38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386BBD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  <w:t>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P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lastRenderedPageBreak/>
              <w:t>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1705EA" w:rsidRDefault="001705EA" w:rsidP="001705EA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705EA" w:rsidRDefault="001705EA" w:rsidP="001705EA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1705EA" w:rsidRDefault="001705EA" w:rsidP="001705EA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</w:p>
          <w:p w:rsidR="001705EA" w:rsidRDefault="001705EA" w:rsidP="001705EA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«Корпоративный» комиссия взимается в стандартном размере.</w:t>
            </w:r>
          </w:p>
        </w:tc>
      </w:tr>
      <w:tr w:rsidR="001705EA" w:rsidT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использования Клиентом системы дистанционного банковского обслуживания «Свой бизнес».</w:t>
            </w:r>
          </w:p>
          <w:p w:rsidR="001705EA" w:rsidRDefault="001705EA" w:rsidP="001705EA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>при использовании клиентом системы дистанционного банковского обслуживания;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>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</w:t>
            </w:r>
            <w:r>
              <w:rPr>
                <w:rFonts w:ascii="Times New Roman" w:hAnsi="Times New Roman"/>
                <w:bCs/>
              </w:rPr>
              <w:lastRenderedPageBreak/>
              <w:t xml:space="preserve">законом от 29.07.2017 </w:t>
            </w:r>
            <w:r>
              <w:rPr>
                <w:rFonts w:ascii="Times New Roman" w:hAnsi="Times New Roman"/>
                <w:bCs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денежными средствами по счету.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lastRenderedPageBreak/>
              <w:t>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за ведение счета не взимается при одновременном выполнении следующих условий:</w:t>
            </w:r>
          </w:p>
          <w:p w:rsidR="001705EA" w:rsidRDefault="001705EA" w:rsidP="001705EA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</w:t>
            </w:r>
            <w:r>
              <w:rPr>
                <w:rFonts w:ascii="Times New Roman" w:hAnsi="Times New Roman"/>
                <w:bCs/>
              </w:rPr>
              <w:lastRenderedPageBreak/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705EA" w:rsidRDefault="001705EA" w:rsidP="001705EA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1705EA" w:rsidRDefault="001705EA" w:rsidP="001705EA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1705EA" w:rsidRDefault="001705EA" w:rsidP="001705EA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1705EA" w:rsidRDefault="001705EA" w:rsidP="001705E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1705EA" w:rsidRDefault="001705EA" w:rsidP="001705E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</w:p>
          <w:p w:rsidR="001705EA" w:rsidRDefault="001705EA" w:rsidP="001705E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1705EA" w:rsidRDefault="001705EA" w:rsidP="001705E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</w:t>
            </w:r>
            <w:r>
              <w:rPr>
                <w:rFonts w:ascii="Times New Roman" w:hAnsi="Times New Roman"/>
              </w:rPr>
              <w:lastRenderedPageBreak/>
              <w:t>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1705EA" w:rsidRDefault="001705EA" w:rsidP="001705EA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>до 100 млн. руб. (включительно)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1705EA" w:rsidRDefault="001705EA" w:rsidP="001705EA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EA" w:rsidRDefault="001705EA" w:rsidP="001705EA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1705EA" w:rsidRDefault="001705EA" w:rsidP="001705EA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1705EA" w:rsidT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>до 150 000,00 руб. (включительно);</w:t>
            </w:r>
          </w:p>
          <w:p w:rsidR="001705EA" w:rsidRDefault="001705EA" w:rsidP="001705E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 150 000,01 руб. до 300 000,00 руб. (включительно);</w:t>
            </w:r>
          </w:p>
          <w:p w:rsidR="001705EA" w:rsidRDefault="001705EA" w:rsidP="001705E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>до 2 000 000,00 руб. (включительно);</w:t>
            </w:r>
          </w:p>
          <w:p w:rsidR="001705EA" w:rsidRDefault="001705EA" w:rsidP="001705EA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>до 5 000 000,00 руб. (включительно);</w:t>
            </w:r>
          </w:p>
          <w:p w:rsidR="001705EA" w:rsidRDefault="001705EA" w:rsidP="001705E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счета, открытые для расчетов с использованием карт;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взимается согласно п. 1.1.5 Тарифов: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1705EA" w:rsidRDefault="001705EA" w:rsidP="001705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lastRenderedPageBreak/>
              <w:t>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lastRenderedPageBreak/>
              <w:t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производится бесплатно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>не взимается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1705E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1705EA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1705E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1705EA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05E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</w:t>
            </w:r>
          </w:p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705EA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705EA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lastRenderedPageBreak/>
              <w:t>распоряжение денежными средствами по счету.</w:t>
            </w:r>
          </w:p>
        </w:tc>
      </w:tr>
      <w:tr w:rsidR="001705EA" w:rsidTr="008F2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1705EA">
        <w:trPr>
          <w:trHeight w:val="29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1705EA" w:rsidTr="008F2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1705EA" w:rsidT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EA" w:rsidRDefault="001705EA" w:rsidP="001705E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1705EA" w:rsidRDefault="001705EA" w:rsidP="001705E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1705EA" w:rsidRDefault="001705EA" w:rsidP="001705EA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1705EA" w:rsidRDefault="001705EA" w:rsidP="001705E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перевода – доллары США.</w:t>
            </w:r>
          </w:p>
          <w:p w:rsidR="001705EA" w:rsidRDefault="001705EA" w:rsidP="001705E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1705EA" w:rsidRDefault="001705EA" w:rsidP="001705E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Наличие в платежном поручении инструкции «OUR» в поле «71» и инструкции «/PPRO/» в поле «70» или «72».</w:t>
            </w:r>
          </w:p>
          <w:p w:rsidR="001705EA" w:rsidRDefault="001705EA" w:rsidP="001705EA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(в рублях Российской Федерации и иностранной валюте)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EA" w:rsidRDefault="001705EA" w:rsidP="001705EA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1705EA" w:rsidRDefault="001705EA" w:rsidP="001705EA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дополнительно.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1705EA" w:rsidRDefault="001705EA" w:rsidP="001705E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705E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lastRenderedPageBreak/>
              <w:t>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>пп. 1.3.1-1.3.3, 1.3.5-1.3.13 Тарифов не взимается.</w:t>
            </w:r>
          </w:p>
          <w:p w:rsidR="001705EA" w:rsidRDefault="001705EA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705E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1705EA" w:rsidRDefault="001705EA" w:rsidP="001705E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386BBD" w:rsidRDefault="008F2E38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386BBD" w:rsidRDefault="008F2E38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386BBD" w:rsidRDefault="008F2E38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386BBD" w:rsidRDefault="008F2E38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386BBD" w:rsidRDefault="008F2E38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</w:p>
    <w:p w:rsidR="00386BBD" w:rsidRDefault="00386BB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BBD" w:rsidRDefault="008F2E38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Применяется при предоставлении услуг, указанных в разделе 1 «Открытие и ведение счетов» настоящих тарифов.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386BBD" w:rsidRDefault="008F2E3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386BBD" w:rsidRDefault="008F2E3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386BBD" w:rsidRDefault="008F2E3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386BBD" w:rsidRDefault="008F2E38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Юридическим лицам и индивидуальным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  <w:t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  <w:t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  <w:t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386BBD" w:rsidRDefault="00386BBD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386BBD" w:rsidRDefault="00386BB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386BBD" w:rsidRDefault="00386BB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386BBD" w:rsidRDefault="008F2E38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386BBD" w:rsidRDefault="008F2E3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46.2 - Торговля оптовая сельскохозяйственным сырьем и живыми животными.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46.21 - Торговля оптовая зерном, необработанным табаком, семенами и кормами для сельскохозяйственных животных.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оптовая зерном, семенами и кормами для животных.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кормами для сельскохозяйственных животных.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46.31.13 - Торговля оптовая свежими фруктами и орехами.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386BBD" w:rsidRDefault="008F2E38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 Федеральным законом от 10 июля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386BBD" w:rsidRDefault="008F2E38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386BBD" w:rsidRDefault="00386BBD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86BBD" w:rsidRDefault="00386BBD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86BBD" w:rsidRDefault="008F2E38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BBD" w:rsidRDefault="008F2E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386BBD">
        <w:trPr>
          <w:trHeight w:val="454"/>
        </w:trPr>
        <w:tc>
          <w:tcPr>
            <w:tcW w:w="851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500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>и РФ АО «Россельхозбанк» - «ЦКБ» (далее – ЦКБ),</w:t>
            </w:r>
          </w:p>
          <w:p w:rsidR="00386BBD" w:rsidRDefault="00386BBD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6BBD" w:rsidRDefault="008F2E38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</w:t>
            </w:r>
          </w:p>
          <w:p w:rsidR="00386BBD" w:rsidRDefault="008F2E38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региональных филиалов АО «Россельхозбанк» (далее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386BBD" w:rsidRDefault="008F2E38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386BBD" w:rsidRDefault="008F2E38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386BBD" w:rsidRDefault="00386BBD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386BBD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386BBD">
        <w:tc>
          <w:tcPr>
            <w:tcW w:w="851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386BBD" w:rsidRDefault="008F2E38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386BBD">
        <w:tc>
          <w:tcPr>
            <w:tcW w:w="851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386BBD" w:rsidRDefault="008F2E38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386BBD" w:rsidRDefault="008F2E38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головной офис Банка;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>80 000 руб. для ГО, ЦРМБ и ЦКБ,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руб.,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386BBD" w:rsidRDefault="008F2E3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rPr>
          <w:trHeight w:val="1022"/>
        </w:trPr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386BBD">
        <w:trPr>
          <w:trHeight w:val="1022"/>
        </w:trPr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386BBD" w:rsidRDefault="008F2E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386BBD" w:rsidRDefault="008F2E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к услуге.</w:t>
            </w:r>
          </w:p>
          <w:p w:rsidR="00386BBD" w:rsidRDefault="008F2E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и предоставляется только резидентам.</w:t>
            </w:r>
          </w:p>
        </w:tc>
      </w:tr>
    </w:tbl>
    <w:p w:rsidR="00386BBD" w:rsidRDefault="008F2E3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валютному контролю.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386BBD" w:rsidRDefault="008F2E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386BBD" w:rsidRDefault="008F2E38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денежных средств общей суммой: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386BBD" w:rsidRDefault="008F2E38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386BBD" w:rsidRDefault="008F2E3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386BBD" w:rsidRDefault="008F2E3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386BBD" w:rsidRDefault="008F2E38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386BBD" w:rsidRDefault="008F2E3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договора) с учета: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386BBD" w:rsidRDefault="008F2E38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386BBD" w:rsidRDefault="008F2E38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386BBD">
        <w:tc>
          <w:tcPr>
            <w:tcW w:w="898" w:type="dxa"/>
            <w:vAlign w:val="center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898" w:type="dxa"/>
            <w:vMerge w:val="restart"/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386BBD">
        <w:trPr>
          <w:trHeight w:val="571"/>
        </w:trPr>
        <w:tc>
          <w:tcPr>
            <w:tcW w:w="898" w:type="dxa"/>
            <w:vMerge w:val="restart"/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386BBD">
        <w:trPr>
          <w:trHeight w:val="253"/>
        </w:trPr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векселя, но не менее 100 руб.</w:t>
            </w:r>
          </w:p>
        </w:tc>
        <w:tc>
          <w:tcPr>
            <w:tcW w:w="3402" w:type="dxa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но не менее 100 руб.</w:t>
            </w:r>
          </w:p>
        </w:tc>
        <w:tc>
          <w:tcPr>
            <w:tcW w:w="3402" w:type="dxa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98" w:type="dxa"/>
            <w:vMerge w:val="restart"/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386BBD">
        <w:tc>
          <w:tcPr>
            <w:tcW w:w="89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>с односторонним расположением текста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386BBD" w:rsidRDefault="008F2E38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386BBD" w:rsidRDefault="008F2E38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на основании требования Банка.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пользу другого бенефициара (трансферация);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113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/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113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аккредитива/ в первый рабочий день соответст-вующего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из суммы, запрошенной к оплате в рамках аккредитива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ее увеличения,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Возврат неоплаченных/ 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86BBD" w:rsidRDefault="008F2E38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Под комиссионным периодом понимается период в 90 (девяносто) последовательных календарных дней.</w:t>
      </w:r>
    </w:p>
    <w:p w:rsidR="00386BBD" w:rsidRDefault="00386BBD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86BBD" w:rsidRDefault="008F2E38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386BBD" w:rsidRDefault="008F2E38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386BBD" w:rsidRDefault="008F2E38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386BBD" w:rsidRDefault="008F2E38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386BBD" w:rsidRDefault="008F2E38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  <w:t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</w:p>
    <w:p w:rsidR="00386BBD" w:rsidRDefault="008F2E38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386BBD" w:rsidRDefault="008F2E38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386BBD" w:rsidRDefault="008F2E38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386BBD" w:rsidRDefault="008F2E38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386BBD" w:rsidRDefault="008F2E38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386BBD" w:rsidRDefault="008F2E38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386BBD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86BBD" w:rsidRDefault="008F2E3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в информационные материалы для клиентов Банка, не размещается на сайте Банка в сети Интернет: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>№ 386-ОД.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86BBD" w:rsidRDefault="008F2E3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>условий гарантии, 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86BBD" w:rsidRDefault="008F2E3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386BBD" w:rsidRDefault="00386BBD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386BBD" w:rsidRDefault="008F2E38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386BBD" w:rsidRDefault="008F2E38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386BBD">
        <w:trPr>
          <w:trHeight w:val="397"/>
        </w:trPr>
        <w:tc>
          <w:tcPr>
            <w:tcW w:w="1206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386BBD">
        <w:tc>
          <w:tcPr>
            <w:tcW w:w="1206" w:type="dxa"/>
            <w:vMerge w:val="restar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«Банк-Клиент»/«Интернет-Клиент»/ «Свой Бизнес».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386BBD">
        <w:tc>
          <w:tcPr>
            <w:tcW w:w="1206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7.3.1 Банком не взимается.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386BBD" w:rsidRDefault="008F2E38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386BBD" w:rsidRDefault="008F2E38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ДБО «Банк-Клиент»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  <w:t>АО «Россельхозбанк».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vMerge w:val="restar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/ заключения экспертной группы.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386BBD" w:rsidRDefault="008F2E3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с п. 7.6.2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>в месяц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 неполный месяц обслуживания плата взимается в размере установленного тарифа.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386BBD" w:rsidRDefault="008F2E38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>в «Свой Бизнес»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>и за каждый телефонный номер</w:t>
            </w:r>
          </w:p>
        </w:tc>
        <w:tc>
          <w:tcPr>
            <w:tcW w:w="3928" w:type="dxa"/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386BBD" w:rsidRDefault="00386BBD">
      <w:pPr>
        <w:pStyle w:val="1112111"/>
        <w:jc w:val="both"/>
        <w:rPr>
          <w:lang w:val="ru-RU"/>
        </w:rPr>
      </w:pPr>
    </w:p>
    <w:p w:rsidR="00386BBD" w:rsidRDefault="008F2E38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386BBD" w:rsidRDefault="008F2E38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386BBD" w:rsidRDefault="008F2E3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«Мобильный банк»/«Мобильное приложение «Свой Бизнес Мобайл», установлены следующие лимиты: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386BBD" w:rsidRDefault="00386BB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386BBD" w:rsidRDefault="008F2E38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386BBD" w:rsidRDefault="00386BBD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386BBD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8F2E38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Хранение ценностей клиентов в хранилище ценностей Банка</w:t>
      </w:r>
    </w:p>
    <w:p w:rsidR="00386BBD" w:rsidRDefault="008F2E3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386BBD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386BBD" w:rsidRDefault="00386BBD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386BBD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386BBD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386B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8F2E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386BBD" w:rsidRDefault="008F2E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386BBD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50 до 74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75 до 124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125 до 169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170 до 299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300 до 515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516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386BBD" w:rsidRDefault="00386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BBD" w:rsidRDefault="008F2E38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386BBD" w:rsidRDefault="008F2E38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386BBD" w:rsidRDefault="008F2E38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>от суммы с 5 000 000,01** руб.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386BBD" w:rsidRDefault="008F2E38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386BBD" w:rsidRDefault="00386BBD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>АО 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386BBD" w:rsidRDefault="008F2E38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386BBD" w:rsidRDefault="00386BBD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386BBD" w:rsidRDefault="008F2E3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386BBD" w:rsidRDefault="00386BBD">
      <w:pPr>
        <w:spacing w:after="0" w:line="240" w:lineRule="auto"/>
        <w:rPr>
          <w:rFonts w:ascii="Times New Roman" w:hAnsi="Times New Roman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386BBD" w:rsidRDefault="00386BBD" w:rsidP="001705E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8F2E38" w:rsidP="001705EA">
      <w:pPr>
        <w:keepNext/>
        <w:spacing w:after="120" w:line="240" w:lineRule="auto"/>
        <w:jc w:val="center"/>
        <w:outlineLvl w:val="5"/>
        <w:rPr>
          <w:rStyle w:val="1-FNftreffrUsedbyWordforHelpfootnotesymbols1Ciaeniinee-FNReferencianotaalpieFootnoteReferenceSUPERSAvgTableFootnotelast1"/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1951"/>
        <w:gridCol w:w="2665"/>
      </w:tblGrid>
      <w:tr w:rsidR="00386BBD">
        <w:tc>
          <w:tcPr>
            <w:tcW w:w="959" w:type="dxa"/>
            <w:gridSpan w:val="2"/>
            <w:vMerge w:val="restart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386BBD" w:rsidRDefault="008F2E38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386BBD" w:rsidTr="001705EA">
        <w:tc>
          <w:tcPr>
            <w:tcW w:w="959" w:type="dxa"/>
            <w:gridSpan w:val="2"/>
            <w:vMerge/>
            <w:vAlign w:val="center"/>
          </w:tcPr>
          <w:p w:rsidR="00386BBD" w:rsidRDefault="00386BBD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386BBD" w:rsidRDefault="00386BBD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386BBD" w:rsidRDefault="00386BBD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665" w:type="dxa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386BBD">
        <w:tc>
          <w:tcPr>
            <w:tcW w:w="959" w:type="dxa"/>
            <w:gridSpan w:val="2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386BBD" w:rsidRDefault="008F2E38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386BBD" w:rsidTr="001705EA">
        <w:tc>
          <w:tcPr>
            <w:tcW w:w="959" w:type="dxa"/>
            <w:gridSpan w:val="2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191" w:type="dxa"/>
            <w:gridSpan w:val="2"/>
          </w:tcPr>
          <w:p w:rsidR="00386BBD" w:rsidRDefault="00386BBD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386BBD" w:rsidRDefault="008F2E38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386BBD">
        <w:tc>
          <w:tcPr>
            <w:tcW w:w="959" w:type="dxa"/>
            <w:gridSpan w:val="2"/>
            <w:vMerge/>
          </w:tcPr>
          <w:p w:rsidR="00386BBD" w:rsidRDefault="00386BBD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386BBD" w:rsidRDefault="008F2E38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386BBD" w:rsidTr="001705EA">
        <w:tc>
          <w:tcPr>
            <w:tcW w:w="959" w:type="dxa"/>
            <w:gridSpan w:val="2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191" w:type="dxa"/>
            <w:gridSpan w:val="2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386BBD">
        <w:tc>
          <w:tcPr>
            <w:tcW w:w="959" w:type="dxa"/>
            <w:gridSpan w:val="2"/>
            <w:vMerge/>
          </w:tcPr>
          <w:p w:rsidR="00386BBD" w:rsidRDefault="00386BBD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386BBD" w:rsidRDefault="008F2E38" w:rsidP="001705EA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386BBD">
        <w:tc>
          <w:tcPr>
            <w:tcW w:w="948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386BBD" w:rsidRDefault="008F2E38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386BBD" w:rsidTr="001705EA">
        <w:tc>
          <w:tcPr>
            <w:tcW w:w="948" w:type="dxa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191" w:type="dxa"/>
            <w:gridSpan w:val="2"/>
          </w:tcPr>
          <w:p w:rsidR="00386BBD" w:rsidRDefault="00386BBD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386BBD">
        <w:tc>
          <w:tcPr>
            <w:tcW w:w="948" w:type="dxa"/>
            <w:vMerge/>
          </w:tcPr>
          <w:p w:rsidR="00386BBD" w:rsidRDefault="00386BB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386BBD" w:rsidRDefault="008F2E38" w:rsidP="001705E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386BBD" w:rsidTr="001705EA">
        <w:tc>
          <w:tcPr>
            <w:tcW w:w="948" w:type="dxa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11.2.2.</w:t>
            </w:r>
          </w:p>
        </w:tc>
        <w:tc>
          <w:tcPr>
            <w:tcW w:w="2269" w:type="dxa"/>
            <w:gridSpan w:val="3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Покупка непосредственно у Банка иностранной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валюты по курсу Банка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1951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386BBD">
        <w:tc>
          <w:tcPr>
            <w:tcW w:w="948" w:type="dxa"/>
            <w:vMerge/>
          </w:tcPr>
          <w:p w:rsidR="00386BBD" w:rsidRDefault="00386BBD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386BBD" w:rsidRDefault="008F2E38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386BBD" w:rsidRDefault="008F2E38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386BBD" w:rsidRDefault="008F2E38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386BBD" w:rsidRDefault="008F2E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386BBD" w:rsidRDefault="008F2E38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386BBD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 w:rsidP="001705E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 w:rsidP="001705E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C28" w:rsidRDefault="00406C28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406C28" w:rsidRDefault="00406C28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отсутствии отлагательных условий выдачи кредитных средств:</w:t>
            </w:r>
          </w:p>
          <w:p w:rsidR="00406C28" w:rsidRDefault="00406C28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406C28" w:rsidRDefault="00406C28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406C28" w:rsidRDefault="00406C28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406C28" w:rsidRDefault="00406C28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406C28" w:rsidRDefault="00406C28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406C28" w:rsidRDefault="00406C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406C28" w:rsidRDefault="00406C2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C28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 w:rsidP="00406C2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Default="00406C28" w:rsidP="00406C2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3B2E">
              <w:rPr>
                <w:rFonts w:ascii="Times New Roman" w:hAnsi="Times New Roman"/>
                <w:bCs/>
              </w:rPr>
              <w:t xml:space="preserve">-при кредитовании по </w:t>
            </w:r>
            <w:r w:rsidRPr="00BF3B2E"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</w:t>
            </w:r>
            <w:r w:rsidRPr="00BF3B2E"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 w:rsidRPr="00BF3B2E">
              <w:rPr>
                <w:rFonts w:ascii="Times New Roman" w:hAnsi="Times New Roman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 w:rsidRPr="00BF3B2E"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06C28" w:rsidRPr="00BF3B2E" w:rsidRDefault="00406C28" w:rsidP="00406C28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BF3B2E">
              <w:rPr>
                <w:rFonts w:ascii="Times New Roman" w:hAnsi="Times New Roman"/>
              </w:rPr>
              <w:t xml:space="preserve">Не более </w:t>
            </w:r>
          </w:p>
          <w:p w:rsidR="00406C28" w:rsidRDefault="00406C28" w:rsidP="00406C2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 годовых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C28" w:rsidRDefault="00406C28" w:rsidP="00406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 5 календарных дней </w:t>
            </w:r>
            <w:r>
              <w:rPr>
                <w:rFonts w:ascii="Times New Roman" w:eastAsia="Times New Roman" w:hAnsi="Times New Roman"/>
              </w:rPr>
              <w:lastRenderedPageBreak/>
              <w:t>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31 до 60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действующего кредитного договора (договора об открытии кредитной линии)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386BBD" w:rsidRDefault="00386BBD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 сделок, в рамках которых </w:t>
            </w:r>
            <w:r>
              <w:rPr>
                <w:rFonts w:ascii="Times New Roman" w:hAnsi="Times New Roman"/>
              </w:rPr>
              <w:lastRenderedPageBreak/>
              <w:t>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lastRenderedPageBreak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>при установлении срока транша до 90 календарных дней (включительно) комиссия не взимается.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</w:t>
            </w:r>
            <w:r>
              <w:rPr>
                <w:rFonts w:ascii="Times New Roman" w:hAnsi="Times New Roman"/>
              </w:rPr>
              <w:lastRenderedPageBreak/>
              <w:t>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386BBD" w:rsidTr="001705EA"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BBD" w:rsidRDefault="00386BBD">
            <w:pPr>
              <w:rPr>
                <w:rFonts w:ascii="Times New Roman" w:hAnsi="Times New Roman"/>
                <w:bCs/>
              </w:rPr>
            </w:pPr>
          </w:p>
        </w:tc>
      </w:tr>
      <w:tr w:rsidR="00406C28" w:rsidTr="001705E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28" w:rsidRDefault="00406C28" w:rsidP="001705EA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28" w:rsidRDefault="00406C28" w:rsidP="001705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3B2E">
              <w:rPr>
                <w:rFonts w:ascii="Times New Roman" w:hAnsi="Times New Roman"/>
                <w:bCs/>
              </w:rPr>
              <w:t>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28" w:rsidRPr="00BF3B2E" w:rsidRDefault="00406C28" w:rsidP="001705E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B2E">
              <w:rPr>
                <w:rFonts w:ascii="Times New Roman" w:hAnsi="Times New Roman"/>
              </w:rPr>
              <w:t>Не более</w:t>
            </w:r>
          </w:p>
          <w:p w:rsidR="00406C28" w:rsidRDefault="00406C28" w:rsidP="001705EA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 w:rsidRPr="00BF3B2E">
              <w:rPr>
                <w:rFonts w:ascii="Times New Roman" w:hAnsi="Times New Roman"/>
              </w:rPr>
              <w:t>1,5% годовых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28" w:rsidRDefault="00406C28" w:rsidP="001705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3B2E">
              <w:rPr>
                <w:rFonts w:ascii="Times New Roman" w:hAnsi="Times New Roman"/>
                <w:bCs/>
              </w:rPr>
              <w:t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>аемой</w:t>
            </w:r>
            <w:r w:rsidRPr="00BF3B2E"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 w:rsidRPr="00912F38">
              <w:rPr>
                <w:rFonts w:ascii="Times New Roman" w:eastAsia="Times New Roman" w:hAnsi="Times New Roman"/>
                <w:bCs/>
              </w:rPr>
              <w:t>срок от даты досрочного погашения до плановой даты погашения</w:t>
            </w:r>
            <w:r w:rsidRPr="00EB3785">
              <w:rPr>
                <w:bCs/>
              </w:rPr>
              <w:t xml:space="preserve"> </w:t>
            </w:r>
            <w:r w:rsidRPr="00BF3B2E">
              <w:rPr>
                <w:rFonts w:ascii="Times New Roman" w:hAnsi="Times New Roman"/>
                <w:bCs/>
              </w:rPr>
              <w:t>и уплачивается в дату досрочного в</w:t>
            </w:r>
            <w:r>
              <w:rPr>
                <w:rFonts w:ascii="Times New Roman" w:hAnsi="Times New Roman"/>
                <w:bCs/>
              </w:rPr>
              <w:t>озврата кредита либо его части.</w:t>
            </w: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>30 000 руб.,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6BBD" w:rsidRDefault="00386BB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86BBD" w:rsidRDefault="008F2E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386BBD" w:rsidRDefault="008F2E38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lastRenderedPageBreak/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386BBD" w:rsidRDefault="008F2E38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386BBD" w:rsidRDefault="008F2E38" w:rsidP="00406C2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386BBD" w:rsidRDefault="008F2E38" w:rsidP="00406C2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</w:p>
    <w:p w:rsidR="00386BBD" w:rsidRDefault="008F2E38" w:rsidP="00406C2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386BBD" w:rsidRDefault="008F2E38" w:rsidP="00406C2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</w:p>
    <w:p w:rsidR="00386BBD" w:rsidRDefault="008F2E38" w:rsidP="00406C2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386BBD" w:rsidRDefault="008F2E38" w:rsidP="00406C2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24.12.2019 № 1804) (далее – ППРФ от 24.12.2019 № 1804);</w:t>
      </w:r>
    </w:p>
    <w:p w:rsidR="00386BBD" w:rsidRDefault="008F2E38" w:rsidP="001705EA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№ 1764); </w:t>
      </w:r>
    </w:p>
    <w:p w:rsidR="00386BBD" w:rsidRDefault="008F2E38" w:rsidP="001705EA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1570);</w:t>
      </w:r>
    </w:p>
    <w:p w:rsidR="00386BBD" w:rsidRDefault="008F2E38" w:rsidP="001705EA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</w:t>
      </w:r>
      <w:r w:rsidR="00406C28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</w:t>
      </w:r>
      <w:r>
        <w:rPr>
          <w:rFonts w:ascii="Times New Roman" w:hAnsi="Times New Roman"/>
          <w:sz w:val="20"/>
          <w:szCs w:val="20"/>
        </w:rPr>
        <w:lastRenderedPageBreak/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386BBD" w:rsidRDefault="008F2E38" w:rsidP="001705EA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</w:p>
    <w:p w:rsidR="00386BBD" w:rsidRDefault="008F2E38" w:rsidP="001705EA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</w:p>
    <w:p w:rsidR="00406C28" w:rsidRDefault="008F2E38" w:rsidP="001705EA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</w:t>
      </w:r>
      <w:r w:rsidR="00406C28">
        <w:rPr>
          <w:rFonts w:ascii="Times New Roman" w:hAnsi="Times New Roman"/>
          <w:sz w:val="20"/>
          <w:szCs w:val="20"/>
        </w:rPr>
        <w:t>;</w:t>
      </w:r>
    </w:p>
    <w:p w:rsidR="00406C28" w:rsidRPr="006F095F" w:rsidRDefault="00406C28" w:rsidP="001705EA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F095F">
        <w:rPr>
          <w:rFonts w:ascii="Times New Roman" w:hAnsi="Times New Roman"/>
          <w:sz w:val="20"/>
          <w:szCs w:val="20"/>
        </w:rPr>
        <w:t>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406C28" w:rsidRDefault="00406C28" w:rsidP="001705EA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 w:rsidRPr="006F095F"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 w:rsidR="00406C28" w:rsidRPr="00762A86" w:rsidTr="001705EA">
        <w:tc>
          <w:tcPr>
            <w:tcW w:w="988" w:type="dxa"/>
            <w:vMerge w:val="restart"/>
            <w:shd w:val="clear" w:color="auto" w:fill="auto"/>
            <w:vAlign w:val="center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/>
            </w: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406C28" w:rsidRPr="00641FBB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406C28" w:rsidRPr="00762A86" w:rsidTr="001705EA">
        <w:tc>
          <w:tcPr>
            <w:tcW w:w="988" w:type="dxa"/>
            <w:vMerge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06C28" w:rsidRPr="00641FBB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536" w:type="dxa"/>
            <w:shd w:val="clear" w:color="auto" w:fill="auto"/>
          </w:tcPr>
          <w:p w:rsidR="00406C28" w:rsidRPr="00641FBB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406C28" w:rsidRPr="00762A86" w:rsidTr="001705EA">
        <w:tc>
          <w:tcPr>
            <w:tcW w:w="988" w:type="dxa"/>
            <w:vMerge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«</w:t>
            </w: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Кредитные операции»</w:t>
            </w:r>
          </w:p>
        </w:tc>
      </w:tr>
      <w:tr w:rsidR="00406C28" w:rsidRPr="00762A86" w:rsidTr="001705EA">
        <w:tc>
          <w:tcPr>
            <w:tcW w:w="988" w:type="dxa"/>
            <w:vMerge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06C28" w:rsidRPr="00641FBB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536" w:type="dxa"/>
            <w:shd w:val="clear" w:color="auto" w:fill="auto"/>
          </w:tcPr>
          <w:p w:rsidR="00406C28" w:rsidRPr="00641FBB" w:rsidRDefault="00406C28" w:rsidP="00F16EA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06C28" w:rsidRDefault="00406C28" w:rsidP="00F16EA7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406C28" w:rsidRPr="00DE52DA" w:rsidRDefault="00406C28" w:rsidP="00F16EA7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6C28" w:rsidRPr="00DE52DA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06C28" w:rsidRDefault="00406C28" w:rsidP="00F16EA7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406C28" w:rsidRPr="00DE52DA" w:rsidRDefault="00406C28" w:rsidP="00F16EA7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536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536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536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536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536" w:type="dxa"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6C28" w:rsidRPr="00DE52DA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Pr="00DE52DA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06C28" w:rsidRPr="00DE52DA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406C28" w:rsidRPr="00C24EA3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06C28" w:rsidRPr="002D51A9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406C28" w:rsidRPr="00C24EA3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06C28" w:rsidRPr="002D51A9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406C28" w:rsidRPr="00C24EA3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06C28" w:rsidRPr="002D51A9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Del="0050234C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shd w:val="clear" w:color="auto" w:fill="auto"/>
          </w:tcPr>
          <w:p w:rsidR="00406C28" w:rsidRPr="00C24EA3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536" w:type="dxa"/>
            <w:shd w:val="clear" w:color="auto" w:fill="auto"/>
          </w:tcPr>
          <w:p w:rsidR="00406C28" w:rsidRPr="002D51A9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06C28" w:rsidRPr="00762A86" w:rsidTr="001705EA">
        <w:tc>
          <w:tcPr>
            <w:tcW w:w="988" w:type="dxa"/>
            <w:shd w:val="clear" w:color="auto" w:fill="auto"/>
          </w:tcPr>
          <w:p w:rsidR="00406C28" w:rsidRDefault="00406C28" w:rsidP="00F16EA7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406C28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406C28" w:rsidRPr="002D51A9" w:rsidRDefault="00406C28" w:rsidP="00F16EA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386BBD" w:rsidRDefault="00386BBD" w:rsidP="001705EA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</w:p>
    <w:p w:rsidR="00386BBD" w:rsidRDefault="00386BBD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386BBD" w:rsidRDefault="008F2E38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  <w:t>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 w:rsidR="00386BBD">
        <w:trPr>
          <w:trHeight w:val="397"/>
        </w:trPr>
        <w:tc>
          <w:tcPr>
            <w:tcW w:w="993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50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260" w:type="dxa"/>
            <w:vAlign w:val="center"/>
          </w:tcPr>
          <w:p w:rsidR="00386BBD" w:rsidRDefault="008F2E38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>Приложению к Тарифам</w:t>
            </w:r>
          </w:p>
        </w:tc>
        <w:tc>
          <w:tcPr>
            <w:tcW w:w="2850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260" w:type="dxa"/>
            <w:vAlign w:val="center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260" w:type="dxa"/>
            <w:vAlign w:val="center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260" w:type="dxa"/>
            <w:vAlign w:val="center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платежная система «Мир» и иные международные </w:t>
            </w:r>
            <w:r>
              <w:rPr>
                <w:rFonts w:ascii="Times New Roman" w:hAnsi="Times New Roman"/>
              </w:rPr>
              <w:lastRenderedPageBreak/>
              <w:t>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</w:p>
        </w:tc>
        <w:tc>
          <w:tcPr>
            <w:tcW w:w="2977" w:type="dxa"/>
          </w:tcPr>
          <w:p w:rsidR="00386BBD" w:rsidRDefault="00386BBD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386BBD" w:rsidRDefault="00386BBD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благотвори-тельных организаций,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13.5.1.4.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260" w:type="dxa"/>
          </w:tcPr>
          <w:p w:rsidR="00386BBD" w:rsidRDefault="00930DB3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AB3EC1"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977" w:type="dxa"/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0DB3" w:rsidTr="00FE21F8">
        <w:tc>
          <w:tcPr>
            <w:tcW w:w="993" w:type="dxa"/>
          </w:tcPr>
          <w:p w:rsidR="00930DB3" w:rsidRPr="00B53E4A" w:rsidRDefault="00930DB3" w:rsidP="00930DB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E4A">
              <w:rPr>
                <w:rFonts w:ascii="Times New Roman" w:hAnsi="Times New Roman"/>
                <w:color w:val="000000"/>
              </w:rPr>
              <w:t>13.6.1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930DB3" w:rsidRPr="00B53E4A" w:rsidRDefault="00930DB3" w:rsidP="00930DB3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53E4A">
              <w:rPr>
                <w:rFonts w:ascii="Times New Roman" w:hAnsi="Times New Roman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2977" w:type="dxa"/>
            <w:vAlign w:val="center"/>
          </w:tcPr>
          <w:p w:rsidR="00930DB3" w:rsidRPr="00B53E4A" w:rsidDel="00BC4B06" w:rsidRDefault="00930DB3" w:rsidP="00930DB3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B53E4A">
              <w:rPr>
                <w:rFonts w:ascii="Times New Roman" w:hAnsi="Times New Roman"/>
                <w:lang w:eastAsia="x-none"/>
              </w:rPr>
              <w:t>37 руб. за операцию</w:t>
            </w:r>
          </w:p>
        </w:tc>
        <w:tc>
          <w:tcPr>
            <w:tcW w:w="2850" w:type="dxa"/>
            <w:vAlign w:val="center"/>
          </w:tcPr>
          <w:p w:rsidR="00930DB3" w:rsidRPr="00B53E4A" w:rsidRDefault="00930DB3" w:rsidP="00930DB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53E4A">
              <w:rPr>
                <w:rFonts w:ascii="Times New Roman" w:hAnsi="Times New Roman"/>
              </w:rPr>
              <w:t>лимит одного перевода – 999 999,99 руб.</w:t>
            </w:r>
          </w:p>
        </w:tc>
      </w:tr>
      <w:tr w:rsidR="00930DB3" w:rsidTr="00FE21F8">
        <w:tc>
          <w:tcPr>
            <w:tcW w:w="993" w:type="dxa"/>
          </w:tcPr>
          <w:p w:rsidR="00930DB3" w:rsidRPr="00B53E4A" w:rsidRDefault="00930DB3" w:rsidP="00930DB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E4A">
              <w:rPr>
                <w:rFonts w:ascii="Times New Roman" w:hAnsi="Times New Roman"/>
                <w:color w:val="000000"/>
              </w:rPr>
              <w:t>13.6.2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930DB3" w:rsidRPr="00B53E4A" w:rsidRDefault="00930DB3" w:rsidP="00930DB3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53E4A">
              <w:rPr>
                <w:rFonts w:ascii="Times New Roman" w:hAnsi="Times New Roman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2977" w:type="dxa"/>
            <w:vAlign w:val="center"/>
          </w:tcPr>
          <w:p w:rsidR="00930DB3" w:rsidRPr="00B53E4A" w:rsidDel="00BC4B06" w:rsidRDefault="00930DB3" w:rsidP="00930DB3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B53E4A">
              <w:rPr>
                <w:rFonts w:ascii="Times New Roman" w:hAnsi="Times New Roman"/>
                <w:lang w:eastAsia="x-none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930DB3" w:rsidRPr="00B53E4A" w:rsidRDefault="00930DB3" w:rsidP="00930DB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86BBD" w:rsidRDefault="008F2E38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86BBD" w:rsidRDefault="008F2E38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386BBD" w:rsidRDefault="008F2E38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 w:rsidR="00386BBD">
        <w:trPr>
          <w:trHeight w:val="397"/>
        </w:trPr>
        <w:tc>
          <w:tcPr>
            <w:tcW w:w="537" w:type="pct"/>
            <w:vAlign w:val="center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386BBD" w:rsidRDefault="008F2E38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386BBD" w:rsidRDefault="008F2E38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>300 руб. в месяц годовых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ежедневного остатка ценных бумаг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386BBD">
        <w:trPr>
          <w:trHeight w:val="576"/>
        </w:trPr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>АО «Россельхозбанк» на брокерское обслуживание</w:t>
            </w:r>
          </w:p>
        </w:tc>
      </w:tr>
      <w:tr w:rsidR="00386BBD">
        <w:trPr>
          <w:trHeight w:val="127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rPr>
          <w:trHeight w:val="328"/>
        </w:trPr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</w:t>
            </w:r>
            <w:r>
              <w:rPr>
                <w:rFonts w:ascii="Times New Roman" w:hAnsi="Times New Roman"/>
              </w:rPr>
              <w:lastRenderedPageBreak/>
              <w:t>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53"/>
        </w:trPr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14.2.7.2.</w:t>
            </w:r>
          </w:p>
        </w:tc>
        <w:tc>
          <w:tcPr>
            <w:tcW w:w="1493" w:type="pct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7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386BBD">
        <w:trPr>
          <w:trHeight w:val="333"/>
        </w:trPr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минимум 300 руб.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386BBD" w:rsidRDefault="00386BBD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Списание ценных бумаг со счетов АО «Россельхозбанк» в реестрах/междепозитарных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Дополнительно взимается в качестве возмещения сумма </w:t>
            </w:r>
            <w:r>
              <w:rPr>
                <w:rFonts w:ascii="Times New Roman" w:eastAsia="Times New Roman" w:hAnsi="Times New Roman"/>
              </w:rPr>
              <w:lastRenderedPageBreak/>
              <w:t>расходов сторонних организаций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 руб.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1 000 руб. для номинальных держателей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386BBD" w:rsidRDefault="00386BBD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86BBD" w:rsidRDefault="008F2E38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386BBD">
        <w:tc>
          <w:tcPr>
            <w:tcW w:w="959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4111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959" w:type="dxa"/>
            <w:tcBorders>
              <w:bottom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386BBD" w:rsidRDefault="008F2E38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386BBD" w:rsidRDefault="008F2E38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386BBD" w:rsidRDefault="008F2E38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BBD" w:rsidRDefault="008F2E38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386BBD">
        <w:tc>
          <w:tcPr>
            <w:tcW w:w="1242" w:type="dxa"/>
            <w:vMerge w:val="restar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86BBD">
        <w:tc>
          <w:tcPr>
            <w:tcW w:w="1242" w:type="dxa"/>
            <w:vMerge/>
            <w:vAlign w:val="center"/>
          </w:tcPr>
          <w:p w:rsidR="00386BBD" w:rsidRDefault="00386B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86BBD" w:rsidRDefault="00386B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386BBD" w:rsidRDefault="00386B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>за слиток (руб.)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BBD" w:rsidRDefault="008F2E38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386BBD" w:rsidRDefault="008F2E38">
      <w:pPr>
        <w:keepNext/>
        <w:spacing w:before="113" w:after="113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 w:rsidR="00386BBD">
        <w:trPr>
          <w:trHeight w:val="397"/>
        </w:trPr>
        <w:tc>
          <w:tcPr>
            <w:tcW w:w="556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</w:p>
        </w:tc>
        <w:tc>
          <w:tcPr>
            <w:tcW w:w="903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«Россельхозбанк».</w:t>
            </w:r>
          </w:p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386BBD" w:rsidRDefault="008F2E3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17.2.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386BBD" w:rsidRDefault="00386BBD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386BBD" w:rsidRDefault="008F2E3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 w:clear="all"/>
      </w: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86BBD" w:rsidRDefault="008F2E38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386BBD" w:rsidRDefault="00386BBD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386BBD">
        <w:tc>
          <w:tcPr>
            <w:tcW w:w="1135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386BBD">
        <w:tc>
          <w:tcPr>
            <w:tcW w:w="113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386BBD">
        <w:tc>
          <w:tcPr>
            <w:tcW w:w="113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386BBD" w:rsidRDefault="00386BBD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113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386BBD" w:rsidRDefault="00386BBD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86BBD" w:rsidRDefault="008F2E38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31.12.2024 (включительно).</w:t>
      </w: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386BBD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BD" w:rsidRDefault="008F2E38">
      <w:pPr>
        <w:spacing w:after="0" w:line="240" w:lineRule="auto"/>
      </w:pPr>
      <w:r>
        <w:separator/>
      </w:r>
    </w:p>
  </w:endnote>
  <w:endnote w:type="continuationSeparator" w:id="0">
    <w:p w:rsidR="00386BBD" w:rsidRDefault="008F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BD" w:rsidRDefault="008F2E38">
      <w:pPr>
        <w:spacing w:after="0" w:line="240" w:lineRule="auto"/>
      </w:pPr>
      <w:r>
        <w:separator/>
      </w:r>
    </w:p>
  </w:footnote>
  <w:footnote w:type="continuationSeparator" w:id="0">
    <w:p w:rsidR="00386BBD" w:rsidRDefault="008F2E38">
      <w:pPr>
        <w:spacing w:after="0" w:line="240" w:lineRule="auto"/>
      </w:pPr>
      <w:r>
        <w:continuationSeparator/>
      </w:r>
    </w:p>
  </w:footnote>
  <w:footnote w:id="1">
    <w:p w:rsidR="00386BBD" w:rsidRPr="008F2E38" w:rsidRDefault="008F2E38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 w:rsidRPr="008F2E38">
        <w:rPr>
          <w:lang w:val="ru-RU"/>
        </w:rPr>
        <w:t xml:space="preserve"> </w:t>
      </w:r>
      <w:r w:rsidRPr="008F2E38"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406C28" w:rsidRDefault="00406C2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406C28" w:rsidRDefault="00406C2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</w:t>
      </w:r>
      <w:r w:rsidRPr="008F2E38"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 w:rsidRPr="008F2E38">
        <w:rPr>
          <w:bCs/>
          <w:sz w:val="18"/>
          <w:szCs w:val="18"/>
          <w:lang w:val="ru-RU"/>
        </w:rPr>
        <w:t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</w:p>
  </w:footnote>
  <w:footnote w:id="4">
    <w:p w:rsidR="00386BBD" w:rsidRPr="008F2E38" w:rsidRDefault="008F2E3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5">
    <w:p w:rsidR="00386BBD" w:rsidRPr="008F2E38" w:rsidRDefault="008F2E38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>0.2</w:t>
      </w:r>
      <w:r w:rsidRPr="008F2E38">
        <w:rPr>
          <w:sz w:val="18"/>
          <w:szCs w:val="18"/>
          <w:lang w:val="ru-RU"/>
        </w:rPr>
        <w:t xml:space="preserve"> приказа АО «Россельхозбанк» от 01.08.2013 № 386-ОД.</w:t>
      </w:r>
    </w:p>
  </w:footnote>
  <w:footnote w:id="6">
    <w:p w:rsidR="00386BBD" w:rsidRPr="00930DB3" w:rsidRDefault="008F2E38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 w:rsidRPr="00930DB3"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 w:rsidRPr="00930DB3">
        <w:rPr>
          <w:sz w:val="20"/>
          <w:szCs w:val="20"/>
        </w:rPr>
        <w:t xml:space="preserve"> </w:t>
      </w:r>
      <w:r w:rsidRPr="00930DB3">
        <w:rPr>
          <w:rFonts w:ascii="Times New Roman" w:hAnsi="Times New Roman"/>
          <w:sz w:val="20"/>
          <w:szCs w:val="20"/>
        </w:rPr>
        <w:t xml:space="preserve">Под </w:t>
      </w:r>
      <w:r w:rsidRPr="00930DB3">
        <w:rPr>
          <w:rFonts w:ascii="Times New Roman" w:hAnsi="Times New Roman"/>
          <w:sz w:val="20"/>
          <w:szCs w:val="20"/>
          <w:u w:val="single"/>
        </w:rPr>
        <w:t>торгово-сервисным предприятием</w:t>
      </w:r>
      <w:r w:rsidRPr="00930DB3">
        <w:rPr>
          <w:rFonts w:ascii="Times New Roman" w:hAnsi="Times New Roman"/>
          <w:sz w:val="20"/>
          <w:szCs w:val="20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 w:rsidRPr="00930DB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7">
    <w:p w:rsidR="00386BBD" w:rsidRPr="008F2E38" w:rsidRDefault="008F2E38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 w:rsidRPr="008F2E38">
        <w:rPr>
          <w:rStyle w:val="1-FNftreffrUsedbyWordforHelpfootnotesymbols1Ciaeniinee-FNReferencianotaalpieFootnoteReferenceSUPERSAvgTableFootnotelast1"/>
          <w:lang w:val="ru-RU"/>
        </w:rPr>
        <w:t>**</w:t>
      </w:r>
      <w:r w:rsidRPr="008F2E38"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386BBD" w:rsidRDefault="008F2E38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386BBD" w:rsidRPr="008F2E38" w:rsidRDefault="008F2E38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386BBD" w:rsidRDefault="008F2E3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386BBD" w:rsidRDefault="008F2E3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386BBD" w:rsidRDefault="008F2E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BD" w:rsidRDefault="008F2E38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63D70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621"/>
    <w:multiLevelType w:val="hybridMultilevel"/>
    <w:tmpl w:val="25E66336"/>
    <w:lvl w:ilvl="0" w:tplc="7C5693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C8168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E479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881B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F21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1824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1ED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2C7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DADD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2176F"/>
    <w:multiLevelType w:val="hybridMultilevel"/>
    <w:tmpl w:val="4A9000E6"/>
    <w:lvl w:ilvl="0" w:tplc="BFF6CFA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0D642CA">
      <w:start w:val="1"/>
      <w:numFmt w:val="lowerLetter"/>
      <w:lvlText w:val="%2."/>
      <w:lvlJc w:val="left"/>
      <w:pPr>
        <w:ind w:left="1440" w:hanging="360"/>
      </w:pPr>
    </w:lvl>
    <w:lvl w:ilvl="2" w:tplc="B2086F6A">
      <w:start w:val="1"/>
      <w:numFmt w:val="lowerRoman"/>
      <w:lvlText w:val="%3."/>
      <w:lvlJc w:val="right"/>
      <w:pPr>
        <w:ind w:left="2160" w:hanging="180"/>
      </w:pPr>
    </w:lvl>
    <w:lvl w:ilvl="3" w:tplc="8DC67C96">
      <w:start w:val="1"/>
      <w:numFmt w:val="decimal"/>
      <w:lvlText w:val="%4."/>
      <w:lvlJc w:val="left"/>
      <w:pPr>
        <w:ind w:left="2880" w:hanging="360"/>
      </w:pPr>
    </w:lvl>
    <w:lvl w:ilvl="4" w:tplc="F75623F6">
      <w:start w:val="1"/>
      <w:numFmt w:val="lowerLetter"/>
      <w:lvlText w:val="%5."/>
      <w:lvlJc w:val="left"/>
      <w:pPr>
        <w:ind w:left="3600" w:hanging="360"/>
      </w:pPr>
    </w:lvl>
    <w:lvl w:ilvl="5" w:tplc="126E58E8">
      <w:start w:val="1"/>
      <w:numFmt w:val="lowerRoman"/>
      <w:lvlText w:val="%6."/>
      <w:lvlJc w:val="right"/>
      <w:pPr>
        <w:ind w:left="4320" w:hanging="180"/>
      </w:pPr>
    </w:lvl>
    <w:lvl w:ilvl="6" w:tplc="57BA03C8">
      <w:start w:val="1"/>
      <w:numFmt w:val="decimal"/>
      <w:lvlText w:val="%7."/>
      <w:lvlJc w:val="left"/>
      <w:pPr>
        <w:ind w:left="5040" w:hanging="360"/>
      </w:pPr>
    </w:lvl>
    <w:lvl w:ilvl="7" w:tplc="6310C7E0">
      <w:start w:val="1"/>
      <w:numFmt w:val="lowerLetter"/>
      <w:lvlText w:val="%8."/>
      <w:lvlJc w:val="left"/>
      <w:pPr>
        <w:ind w:left="5760" w:hanging="360"/>
      </w:pPr>
    </w:lvl>
    <w:lvl w:ilvl="8" w:tplc="6F8821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CB5"/>
    <w:multiLevelType w:val="hybridMultilevel"/>
    <w:tmpl w:val="B6B00D5E"/>
    <w:lvl w:ilvl="0" w:tplc="402E81AE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941211AE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99585D10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852A3092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BD98E85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0678AC2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C7547A48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7FA8C90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A2A645E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 w15:restartNumberingAfterBreak="0">
    <w:nsid w:val="1CCE4C37"/>
    <w:multiLevelType w:val="hybridMultilevel"/>
    <w:tmpl w:val="1FC0907A"/>
    <w:lvl w:ilvl="0" w:tplc="1A20A0A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62036CA">
      <w:start w:val="1"/>
      <w:numFmt w:val="lowerLetter"/>
      <w:lvlText w:val="%2."/>
      <w:lvlJc w:val="left"/>
      <w:pPr>
        <w:ind w:left="1440" w:hanging="360"/>
      </w:pPr>
    </w:lvl>
    <w:lvl w:ilvl="2" w:tplc="3B4669B8">
      <w:start w:val="1"/>
      <w:numFmt w:val="lowerRoman"/>
      <w:lvlText w:val="%3."/>
      <w:lvlJc w:val="right"/>
      <w:pPr>
        <w:ind w:left="2160" w:hanging="180"/>
      </w:pPr>
    </w:lvl>
    <w:lvl w:ilvl="3" w:tplc="217629AA">
      <w:start w:val="1"/>
      <w:numFmt w:val="decimal"/>
      <w:lvlText w:val="%4."/>
      <w:lvlJc w:val="left"/>
      <w:pPr>
        <w:ind w:left="2880" w:hanging="360"/>
      </w:pPr>
    </w:lvl>
    <w:lvl w:ilvl="4" w:tplc="EDFC9124">
      <w:start w:val="1"/>
      <w:numFmt w:val="lowerLetter"/>
      <w:lvlText w:val="%5."/>
      <w:lvlJc w:val="left"/>
      <w:pPr>
        <w:ind w:left="3600" w:hanging="360"/>
      </w:pPr>
    </w:lvl>
    <w:lvl w:ilvl="5" w:tplc="80C6AEBA">
      <w:start w:val="1"/>
      <w:numFmt w:val="lowerRoman"/>
      <w:lvlText w:val="%6."/>
      <w:lvlJc w:val="right"/>
      <w:pPr>
        <w:ind w:left="4320" w:hanging="180"/>
      </w:pPr>
    </w:lvl>
    <w:lvl w:ilvl="6" w:tplc="C0D8B4EA">
      <w:start w:val="1"/>
      <w:numFmt w:val="decimal"/>
      <w:lvlText w:val="%7."/>
      <w:lvlJc w:val="left"/>
      <w:pPr>
        <w:ind w:left="5040" w:hanging="360"/>
      </w:pPr>
    </w:lvl>
    <w:lvl w:ilvl="7" w:tplc="1BB65CE8">
      <w:start w:val="1"/>
      <w:numFmt w:val="lowerLetter"/>
      <w:lvlText w:val="%8."/>
      <w:lvlJc w:val="left"/>
      <w:pPr>
        <w:ind w:left="5760" w:hanging="360"/>
      </w:pPr>
    </w:lvl>
    <w:lvl w:ilvl="8" w:tplc="9BA8E2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4EF8"/>
    <w:multiLevelType w:val="hybridMultilevel"/>
    <w:tmpl w:val="AFA4BE48"/>
    <w:lvl w:ilvl="0" w:tplc="4BD6BBA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AC1640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4BCF3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FA2C7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2A31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9DC649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18264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0505A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C1EF6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0E516AA"/>
    <w:multiLevelType w:val="hybridMultilevel"/>
    <w:tmpl w:val="408A3B60"/>
    <w:lvl w:ilvl="0" w:tplc="6310EC54">
      <w:start w:val="1"/>
      <w:numFmt w:val="decimal"/>
      <w:lvlText w:val="%1."/>
      <w:lvlJc w:val="left"/>
      <w:pPr>
        <w:ind w:left="1069" w:hanging="360"/>
      </w:pPr>
    </w:lvl>
    <w:lvl w:ilvl="1" w:tplc="16503D5C">
      <w:start w:val="1"/>
      <w:numFmt w:val="lowerLetter"/>
      <w:lvlText w:val="%2."/>
      <w:lvlJc w:val="left"/>
      <w:pPr>
        <w:ind w:left="1789" w:hanging="360"/>
      </w:pPr>
    </w:lvl>
    <w:lvl w:ilvl="2" w:tplc="425426CA">
      <w:start w:val="1"/>
      <w:numFmt w:val="lowerRoman"/>
      <w:lvlText w:val="%3."/>
      <w:lvlJc w:val="right"/>
      <w:pPr>
        <w:ind w:left="2509" w:hanging="180"/>
      </w:pPr>
    </w:lvl>
    <w:lvl w:ilvl="3" w:tplc="786C3B10">
      <w:start w:val="1"/>
      <w:numFmt w:val="decimal"/>
      <w:lvlText w:val="%4."/>
      <w:lvlJc w:val="left"/>
      <w:pPr>
        <w:ind w:left="3229" w:hanging="360"/>
      </w:pPr>
    </w:lvl>
    <w:lvl w:ilvl="4" w:tplc="236A1A3A">
      <w:start w:val="1"/>
      <w:numFmt w:val="lowerLetter"/>
      <w:lvlText w:val="%5."/>
      <w:lvlJc w:val="left"/>
      <w:pPr>
        <w:ind w:left="3949" w:hanging="360"/>
      </w:pPr>
    </w:lvl>
    <w:lvl w:ilvl="5" w:tplc="99747502">
      <w:start w:val="1"/>
      <w:numFmt w:val="lowerRoman"/>
      <w:lvlText w:val="%6."/>
      <w:lvlJc w:val="right"/>
      <w:pPr>
        <w:ind w:left="4669" w:hanging="180"/>
      </w:pPr>
    </w:lvl>
    <w:lvl w:ilvl="6" w:tplc="47A4C246">
      <w:start w:val="1"/>
      <w:numFmt w:val="decimal"/>
      <w:lvlText w:val="%7."/>
      <w:lvlJc w:val="left"/>
      <w:pPr>
        <w:ind w:left="5389" w:hanging="360"/>
      </w:pPr>
    </w:lvl>
    <w:lvl w:ilvl="7" w:tplc="7FD472B8">
      <w:start w:val="1"/>
      <w:numFmt w:val="lowerLetter"/>
      <w:lvlText w:val="%8."/>
      <w:lvlJc w:val="left"/>
      <w:pPr>
        <w:ind w:left="6109" w:hanging="360"/>
      </w:pPr>
    </w:lvl>
    <w:lvl w:ilvl="8" w:tplc="7BD2B72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623A51"/>
    <w:multiLevelType w:val="hybridMultilevel"/>
    <w:tmpl w:val="C9DEF9EC"/>
    <w:lvl w:ilvl="0" w:tplc="5B761B6E">
      <w:start w:val="1"/>
      <w:numFmt w:val="decimal"/>
      <w:lvlText w:val="%1."/>
      <w:lvlJc w:val="left"/>
      <w:pPr>
        <w:ind w:left="720" w:hanging="360"/>
      </w:pPr>
    </w:lvl>
    <w:lvl w:ilvl="1" w:tplc="AF026870">
      <w:start w:val="1"/>
      <w:numFmt w:val="decimal"/>
      <w:lvlText w:val="%2)"/>
      <w:lvlJc w:val="left"/>
      <w:pPr>
        <w:ind w:left="1440" w:hanging="360"/>
      </w:pPr>
    </w:lvl>
    <w:lvl w:ilvl="2" w:tplc="2A9887AC">
      <w:start w:val="1"/>
      <w:numFmt w:val="lowerRoman"/>
      <w:lvlText w:val="%3."/>
      <w:lvlJc w:val="right"/>
      <w:pPr>
        <w:ind w:left="2160" w:hanging="180"/>
      </w:pPr>
    </w:lvl>
    <w:lvl w:ilvl="3" w:tplc="69043F9E">
      <w:start w:val="1"/>
      <w:numFmt w:val="decimal"/>
      <w:lvlText w:val="%4."/>
      <w:lvlJc w:val="left"/>
      <w:pPr>
        <w:ind w:left="2880" w:hanging="360"/>
      </w:pPr>
    </w:lvl>
    <w:lvl w:ilvl="4" w:tplc="F940D0E4">
      <w:start w:val="1"/>
      <w:numFmt w:val="lowerLetter"/>
      <w:lvlText w:val="%5."/>
      <w:lvlJc w:val="left"/>
      <w:pPr>
        <w:ind w:left="3600" w:hanging="360"/>
      </w:pPr>
    </w:lvl>
    <w:lvl w:ilvl="5" w:tplc="748CBDE2">
      <w:start w:val="1"/>
      <w:numFmt w:val="lowerRoman"/>
      <w:lvlText w:val="%6."/>
      <w:lvlJc w:val="right"/>
      <w:pPr>
        <w:ind w:left="4320" w:hanging="180"/>
      </w:pPr>
    </w:lvl>
    <w:lvl w:ilvl="6" w:tplc="2954E66C">
      <w:start w:val="1"/>
      <w:numFmt w:val="decimal"/>
      <w:lvlText w:val="%7."/>
      <w:lvlJc w:val="left"/>
      <w:pPr>
        <w:ind w:left="5040" w:hanging="360"/>
      </w:pPr>
    </w:lvl>
    <w:lvl w:ilvl="7" w:tplc="5EB81AAA">
      <w:start w:val="1"/>
      <w:numFmt w:val="lowerLetter"/>
      <w:lvlText w:val="%8."/>
      <w:lvlJc w:val="left"/>
      <w:pPr>
        <w:ind w:left="5760" w:hanging="360"/>
      </w:pPr>
    </w:lvl>
    <w:lvl w:ilvl="8" w:tplc="3AB8F8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5614F"/>
    <w:multiLevelType w:val="hybridMultilevel"/>
    <w:tmpl w:val="DC203084"/>
    <w:lvl w:ilvl="0" w:tplc="8EE8ED92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B3069FAA">
      <w:start w:val="1"/>
      <w:numFmt w:val="lowerLetter"/>
      <w:lvlText w:val="%2."/>
      <w:lvlJc w:val="left"/>
      <w:pPr>
        <w:ind w:left="1440" w:hanging="360"/>
      </w:pPr>
    </w:lvl>
    <w:lvl w:ilvl="2" w:tplc="BCEC5C84">
      <w:start w:val="1"/>
      <w:numFmt w:val="lowerRoman"/>
      <w:lvlText w:val="%3."/>
      <w:lvlJc w:val="right"/>
      <w:pPr>
        <w:ind w:left="2160" w:hanging="180"/>
      </w:pPr>
    </w:lvl>
    <w:lvl w:ilvl="3" w:tplc="C9C064A4">
      <w:start w:val="1"/>
      <w:numFmt w:val="decimal"/>
      <w:lvlText w:val="%4."/>
      <w:lvlJc w:val="left"/>
      <w:pPr>
        <w:ind w:left="2880" w:hanging="360"/>
      </w:pPr>
    </w:lvl>
    <w:lvl w:ilvl="4" w:tplc="7F986EB8">
      <w:start w:val="1"/>
      <w:numFmt w:val="lowerLetter"/>
      <w:lvlText w:val="%5."/>
      <w:lvlJc w:val="left"/>
      <w:pPr>
        <w:ind w:left="3600" w:hanging="360"/>
      </w:pPr>
    </w:lvl>
    <w:lvl w:ilvl="5" w:tplc="2496E822">
      <w:start w:val="1"/>
      <w:numFmt w:val="lowerRoman"/>
      <w:lvlText w:val="%6."/>
      <w:lvlJc w:val="right"/>
      <w:pPr>
        <w:ind w:left="4320" w:hanging="180"/>
      </w:pPr>
    </w:lvl>
    <w:lvl w:ilvl="6" w:tplc="1BE2FADE">
      <w:start w:val="1"/>
      <w:numFmt w:val="decimal"/>
      <w:lvlText w:val="%7."/>
      <w:lvlJc w:val="left"/>
      <w:pPr>
        <w:ind w:left="5040" w:hanging="360"/>
      </w:pPr>
    </w:lvl>
    <w:lvl w:ilvl="7" w:tplc="CDBC5B9E">
      <w:start w:val="1"/>
      <w:numFmt w:val="lowerLetter"/>
      <w:lvlText w:val="%8."/>
      <w:lvlJc w:val="left"/>
      <w:pPr>
        <w:ind w:left="5760" w:hanging="360"/>
      </w:pPr>
    </w:lvl>
    <w:lvl w:ilvl="8" w:tplc="4C5CEC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1229"/>
    <w:multiLevelType w:val="hybridMultilevel"/>
    <w:tmpl w:val="C7F8EF3E"/>
    <w:lvl w:ilvl="0" w:tplc="E15619E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705E2472">
      <w:start w:val="1"/>
      <w:numFmt w:val="lowerLetter"/>
      <w:lvlText w:val="%2."/>
      <w:lvlJc w:val="left"/>
      <w:pPr>
        <w:ind w:left="1800" w:hanging="360"/>
      </w:pPr>
    </w:lvl>
    <w:lvl w:ilvl="2" w:tplc="6F126CE4">
      <w:start w:val="1"/>
      <w:numFmt w:val="lowerRoman"/>
      <w:lvlText w:val="%3."/>
      <w:lvlJc w:val="right"/>
      <w:pPr>
        <w:ind w:left="2520" w:hanging="180"/>
      </w:pPr>
    </w:lvl>
    <w:lvl w:ilvl="3" w:tplc="DA2AFB26">
      <w:start w:val="1"/>
      <w:numFmt w:val="decimal"/>
      <w:lvlText w:val="%4."/>
      <w:lvlJc w:val="left"/>
      <w:pPr>
        <w:ind w:left="3240" w:hanging="360"/>
      </w:pPr>
    </w:lvl>
    <w:lvl w:ilvl="4" w:tplc="6EDE9DE8">
      <w:start w:val="1"/>
      <w:numFmt w:val="lowerLetter"/>
      <w:lvlText w:val="%5."/>
      <w:lvlJc w:val="left"/>
      <w:pPr>
        <w:ind w:left="3960" w:hanging="360"/>
      </w:pPr>
    </w:lvl>
    <w:lvl w:ilvl="5" w:tplc="7F5A27F8">
      <w:start w:val="1"/>
      <w:numFmt w:val="lowerRoman"/>
      <w:lvlText w:val="%6."/>
      <w:lvlJc w:val="right"/>
      <w:pPr>
        <w:ind w:left="4680" w:hanging="180"/>
      </w:pPr>
    </w:lvl>
    <w:lvl w:ilvl="6" w:tplc="C83A0008">
      <w:start w:val="1"/>
      <w:numFmt w:val="decimal"/>
      <w:lvlText w:val="%7."/>
      <w:lvlJc w:val="left"/>
      <w:pPr>
        <w:ind w:left="5400" w:hanging="360"/>
      </w:pPr>
    </w:lvl>
    <w:lvl w:ilvl="7" w:tplc="8D56A436">
      <w:start w:val="1"/>
      <w:numFmt w:val="lowerLetter"/>
      <w:lvlText w:val="%8."/>
      <w:lvlJc w:val="left"/>
      <w:pPr>
        <w:ind w:left="6120" w:hanging="360"/>
      </w:pPr>
    </w:lvl>
    <w:lvl w:ilvl="8" w:tplc="562A132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B4F83"/>
    <w:multiLevelType w:val="hybridMultilevel"/>
    <w:tmpl w:val="4CB8C244"/>
    <w:lvl w:ilvl="0" w:tplc="4BE88174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AAB0D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1AB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E82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6423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2CF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9C2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6E2E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9AC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6CB567E"/>
    <w:multiLevelType w:val="hybridMultilevel"/>
    <w:tmpl w:val="B0F2E9DA"/>
    <w:lvl w:ilvl="0" w:tplc="FDC89B3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594B2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242F4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E929F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11A83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F2656A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D08FC0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420B3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358100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4E6B3706"/>
    <w:multiLevelType w:val="hybridMultilevel"/>
    <w:tmpl w:val="38D80158"/>
    <w:lvl w:ilvl="0" w:tplc="E6FA9B78">
      <w:start w:val="1"/>
      <w:numFmt w:val="decimal"/>
      <w:lvlText w:val="%1."/>
      <w:lvlJc w:val="left"/>
      <w:pPr>
        <w:ind w:left="720" w:hanging="360"/>
      </w:pPr>
    </w:lvl>
    <w:lvl w:ilvl="1" w:tplc="BB7E5C08">
      <w:start w:val="1"/>
      <w:numFmt w:val="lowerLetter"/>
      <w:lvlText w:val="%2."/>
      <w:lvlJc w:val="left"/>
      <w:pPr>
        <w:ind w:left="1440" w:hanging="360"/>
      </w:pPr>
    </w:lvl>
    <w:lvl w:ilvl="2" w:tplc="3D101552">
      <w:start w:val="1"/>
      <w:numFmt w:val="lowerRoman"/>
      <w:lvlText w:val="%3."/>
      <w:lvlJc w:val="right"/>
      <w:pPr>
        <w:ind w:left="2160" w:hanging="180"/>
      </w:pPr>
    </w:lvl>
    <w:lvl w:ilvl="3" w:tplc="48F8B97A">
      <w:start w:val="1"/>
      <w:numFmt w:val="decimal"/>
      <w:lvlText w:val="%4."/>
      <w:lvlJc w:val="left"/>
      <w:pPr>
        <w:ind w:left="2880" w:hanging="360"/>
      </w:pPr>
    </w:lvl>
    <w:lvl w:ilvl="4" w:tplc="0B82E452">
      <w:start w:val="1"/>
      <w:numFmt w:val="lowerLetter"/>
      <w:lvlText w:val="%5."/>
      <w:lvlJc w:val="left"/>
      <w:pPr>
        <w:ind w:left="3600" w:hanging="360"/>
      </w:pPr>
    </w:lvl>
    <w:lvl w:ilvl="5" w:tplc="CE52DAFA">
      <w:start w:val="1"/>
      <w:numFmt w:val="lowerRoman"/>
      <w:lvlText w:val="%6."/>
      <w:lvlJc w:val="right"/>
      <w:pPr>
        <w:ind w:left="4320" w:hanging="180"/>
      </w:pPr>
    </w:lvl>
    <w:lvl w:ilvl="6" w:tplc="2F38D1FA">
      <w:start w:val="1"/>
      <w:numFmt w:val="decimal"/>
      <w:lvlText w:val="%7."/>
      <w:lvlJc w:val="left"/>
      <w:pPr>
        <w:ind w:left="5040" w:hanging="360"/>
      </w:pPr>
    </w:lvl>
    <w:lvl w:ilvl="7" w:tplc="177C4F20">
      <w:start w:val="1"/>
      <w:numFmt w:val="lowerLetter"/>
      <w:lvlText w:val="%8."/>
      <w:lvlJc w:val="left"/>
      <w:pPr>
        <w:ind w:left="5760" w:hanging="360"/>
      </w:pPr>
    </w:lvl>
    <w:lvl w:ilvl="8" w:tplc="E43C50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10F87"/>
    <w:multiLevelType w:val="hybridMultilevel"/>
    <w:tmpl w:val="D5A253D2"/>
    <w:lvl w:ilvl="0" w:tplc="143473B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4B6E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4A3D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1C5F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C45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B886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7697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2A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F2AE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C655891"/>
    <w:multiLevelType w:val="hybridMultilevel"/>
    <w:tmpl w:val="0F6058A2"/>
    <w:lvl w:ilvl="0" w:tplc="AA4237F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0B029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AEE3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6EE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D06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4AFB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922B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A65C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4C4D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877B2B"/>
    <w:multiLevelType w:val="hybridMultilevel"/>
    <w:tmpl w:val="D1FE9790"/>
    <w:lvl w:ilvl="0" w:tplc="194855E2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1F348F88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F120E760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0DB093CE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B162A1EA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3382638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D84686D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0F8229AE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3C609420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5" w15:restartNumberingAfterBreak="0">
    <w:nsid w:val="679625FC"/>
    <w:multiLevelType w:val="hybridMultilevel"/>
    <w:tmpl w:val="004EFAA0"/>
    <w:lvl w:ilvl="0" w:tplc="5B5C527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9F7A8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540E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546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8A0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3AC5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B001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3A0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56CE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8237BE"/>
    <w:multiLevelType w:val="hybridMultilevel"/>
    <w:tmpl w:val="8B1C3454"/>
    <w:lvl w:ilvl="0" w:tplc="0A9676D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7820D38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2EBC27FE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C1A8E752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EE5A7BFC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EF1CB84E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353A3A5E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805EFC5C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1A2214E2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 w15:restartNumberingAfterBreak="0">
    <w:nsid w:val="79BA28CD"/>
    <w:multiLevelType w:val="hybridMultilevel"/>
    <w:tmpl w:val="F5429560"/>
    <w:lvl w:ilvl="0" w:tplc="F45AB26E">
      <w:start w:val="1"/>
      <w:numFmt w:val="decimal"/>
      <w:lvlText w:val="%1."/>
      <w:lvlJc w:val="left"/>
      <w:pPr>
        <w:ind w:left="394" w:hanging="360"/>
      </w:pPr>
    </w:lvl>
    <w:lvl w:ilvl="1" w:tplc="C8921368">
      <w:start w:val="1"/>
      <w:numFmt w:val="lowerLetter"/>
      <w:lvlText w:val="%2."/>
      <w:lvlJc w:val="left"/>
      <w:pPr>
        <w:ind w:left="1114" w:hanging="360"/>
      </w:pPr>
    </w:lvl>
    <w:lvl w:ilvl="2" w:tplc="CF22CF74">
      <w:start w:val="1"/>
      <w:numFmt w:val="lowerRoman"/>
      <w:lvlText w:val="%3."/>
      <w:lvlJc w:val="right"/>
      <w:pPr>
        <w:ind w:left="1834" w:hanging="180"/>
      </w:pPr>
    </w:lvl>
    <w:lvl w:ilvl="3" w:tplc="375871DA">
      <w:start w:val="1"/>
      <w:numFmt w:val="decimal"/>
      <w:lvlText w:val="%4."/>
      <w:lvlJc w:val="left"/>
      <w:pPr>
        <w:ind w:left="2554" w:hanging="360"/>
      </w:pPr>
    </w:lvl>
    <w:lvl w:ilvl="4" w:tplc="459CC186">
      <w:start w:val="1"/>
      <w:numFmt w:val="lowerLetter"/>
      <w:lvlText w:val="%5."/>
      <w:lvlJc w:val="left"/>
      <w:pPr>
        <w:ind w:left="3274" w:hanging="360"/>
      </w:pPr>
    </w:lvl>
    <w:lvl w:ilvl="5" w:tplc="DF7294BC">
      <w:start w:val="1"/>
      <w:numFmt w:val="lowerRoman"/>
      <w:lvlText w:val="%6."/>
      <w:lvlJc w:val="right"/>
      <w:pPr>
        <w:ind w:left="3994" w:hanging="180"/>
      </w:pPr>
    </w:lvl>
    <w:lvl w:ilvl="6" w:tplc="70447CE6">
      <w:start w:val="1"/>
      <w:numFmt w:val="decimal"/>
      <w:lvlText w:val="%7."/>
      <w:lvlJc w:val="left"/>
      <w:pPr>
        <w:ind w:left="4714" w:hanging="360"/>
      </w:pPr>
    </w:lvl>
    <w:lvl w:ilvl="7" w:tplc="E258F458">
      <w:start w:val="1"/>
      <w:numFmt w:val="lowerLetter"/>
      <w:lvlText w:val="%8."/>
      <w:lvlJc w:val="left"/>
      <w:pPr>
        <w:ind w:left="5434" w:hanging="360"/>
      </w:pPr>
    </w:lvl>
    <w:lvl w:ilvl="8" w:tplc="6B007A4A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B7A5595"/>
    <w:multiLevelType w:val="hybridMultilevel"/>
    <w:tmpl w:val="D9D2D764"/>
    <w:lvl w:ilvl="0" w:tplc="D5CC7758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F6022F54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F89C1846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A768C77C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77B0404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0B3E9182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9CD4F604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AA3EAAAA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B5F03B22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11"/>
  </w:num>
  <w:num w:numId="15">
    <w:abstractNumId w:val="17"/>
  </w:num>
  <w:num w:numId="16">
    <w:abstractNumId w:val="14"/>
  </w:num>
  <w:num w:numId="17">
    <w:abstractNumId w:val="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BD"/>
    <w:rsid w:val="001705EA"/>
    <w:rsid w:val="00386BBD"/>
    <w:rsid w:val="00406C28"/>
    <w:rsid w:val="008F2E38"/>
    <w:rsid w:val="00930DB3"/>
    <w:rsid w:val="00963D70"/>
    <w:rsid w:val="00E04DAB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8E8AF-9C52-40FD-AF84-A46AA7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91</Pages>
  <Words>27325</Words>
  <Characters>155759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Медведенко Лариса Николаевна</cp:lastModifiedBy>
  <cp:revision>5</cp:revision>
  <dcterms:created xsi:type="dcterms:W3CDTF">2024-12-23T12:07:00Z</dcterms:created>
  <dcterms:modified xsi:type="dcterms:W3CDTF">2024-12-25T01:55:00Z</dcterms:modified>
  <cp:version>1048576</cp:version>
</cp:coreProperties>
</file>