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Банковская отчетность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01.03.2020 г.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</w:t>
      </w:r>
      <w:r w:rsidR="009A2457">
        <w:rPr>
          <w:rFonts w:ascii="Courier New" w:hAnsi="Courier New" w:cs="Courier New"/>
          <w:b/>
          <w:sz w:val="12"/>
          <w:szCs w:val="12"/>
          <w:lang w:val="en-US"/>
        </w:rPr>
        <w:t xml:space="preserve">    </w:t>
      </w:r>
      <w:r w:rsidRPr="009A2457">
        <w:rPr>
          <w:rFonts w:ascii="Courier New" w:hAnsi="Courier New" w:cs="Courier New"/>
          <w:b/>
          <w:sz w:val="12"/>
          <w:szCs w:val="12"/>
        </w:rPr>
        <w:t xml:space="preserve">   Месячная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>.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9A2457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506561510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449553039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439483000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345683000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9A2457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A245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A245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118904772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7679166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104304136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A245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 627373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A245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330648267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49408070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49408070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49408070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380056337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126506611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A245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A245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125194640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9A2457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1311971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lastRenderedPageBreak/>
        <w:t>|             | потерь, рассчитанной кредитной организацией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506561510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9A2457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9A2457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52626559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126505173 |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 xml:space="preserve"> 0 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>.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</w:t>
      </w:r>
      <w:r w:rsidR="009A2457">
        <w:rPr>
          <w:rFonts w:ascii="Courier New" w:hAnsi="Courier New" w:cs="Courier New"/>
          <w:b/>
          <w:sz w:val="12"/>
          <w:szCs w:val="12"/>
        </w:rPr>
        <w:t xml:space="preserve">приобретенных по сделкам </w:t>
      </w:r>
      <w:proofErr w:type="spellStart"/>
      <w:r w:rsidR="009A2457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="009A2457">
        <w:rPr>
          <w:rFonts w:ascii="Courier New" w:hAnsi="Courier New" w:cs="Courier New"/>
          <w:b/>
          <w:sz w:val="12"/>
          <w:szCs w:val="12"/>
        </w:rPr>
        <w:t xml:space="preserve"> </w:t>
      </w:r>
      <w:r w:rsidRPr="009A2457">
        <w:rPr>
          <w:rFonts w:ascii="Courier New" w:hAnsi="Courier New" w:cs="Courier New"/>
          <w:b/>
          <w:sz w:val="12"/>
          <w:szCs w:val="12"/>
        </w:rPr>
        <w:t xml:space="preserve">0 </w:t>
      </w:r>
      <w:proofErr w:type="spellStart"/>
      <w:r w:rsidRPr="009A2457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9A2457">
        <w:rPr>
          <w:rFonts w:ascii="Courier New" w:hAnsi="Courier New" w:cs="Courier New"/>
          <w:b/>
          <w:sz w:val="12"/>
          <w:szCs w:val="12"/>
        </w:rPr>
        <w:t>.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3.1. реализованный    -532751 тыс. руб.;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3.2. нереализованный  1509466 тыс. руб.</w:t>
      </w: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A2457" w:rsidRPr="009A2457" w:rsidRDefault="009A2457" w:rsidP="009A245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                                    А.Ю. Жданов </w:t>
      </w:r>
    </w:p>
    <w:p w:rsidR="009A2457" w:rsidRPr="009A2457" w:rsidRDefault="009A2457" w:rsidP="009A245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A2457" w:rsidRPr="009A2457" w:rsidRDefault="009A2457" w:rsidP="009A245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A2457" w:rsidRPr="009A2457" w:rsidRDefault="009A2457" w:rsidP="009A245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A2457" w:rsidRPr="009A2457" w:rsidRDefault="009A2457" w:rsidP="009A245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A2457" w:rsidRPr="009A2457" w:rsidRDefault="009A2457" w:rsidP="009A245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A2457" w:rsidRPr="009A2457" w:rsidRDefault="009A2457" w:rsidP="009A245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A2457" w:rsidRPr="009A2457" w:rsidRDefault="009A2457" w:rsidP="009A245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9A2457" w:rsidRPr="009A2457" w:rsidRDefault="009A2457" w:rsidP="009A245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A2457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                 Е.А. Романькова</w:t>
      </w:r>
    </w:p>
    <w:p w:rsidR="00AB3813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A2457" w:rsidRDefault="009A2457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A2457" w:rsidRDefault="009A2457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B3813" w:rsidRPr="009A2457" w:rsidRDefault="00AB3813" w:rsidP="00AB3813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AB3813" w:rsidRPr="009A2457" w:rsidSect="009A2457">
      <w:pgSz w:w="11906" w:h="16838"/>
      <w:pgMar w:top="1134" w:right="1134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1FC"/>
    <w:rsid w:val="003251FC"/>
    <w:rsid w:val="008B402A"/>
    <w:rsid w:val="009A2457"/>
    <w:rsid w:val="00AB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54D9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54D9A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A2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245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54D9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54D9A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A2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24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8811</Words>
  <Characters>50228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Кучекеева Мария Владимировна</dc:creator>
  <cp:lastModifiedBy>Русакова Марина Павловна</cp:lastModifiedBy>
  <cp:revision>2</cp:revision>
  <cp:lastPrinted>2020-03-05T14:46:00Z</cp:lastPrinted>
  <dcterms:created xsi:type="dcterms:W3CDTF">2020-03-06T07:11:00Z</dcterms:created>
  <dcterms:modified xsi:type="dcterms:W3CDTF">2020-03-06T07:11:00Z</dcterms:modified>
</cp:coreProperties>
</file>