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suppressLineNumbers w:val="0"/>
        <w:spacing w:after="0" w:afterAutospacing="0" w:line="240" w:lineRule="auto"/>
        <w:ind w:left="0" w:right="-1" w:firstLine="5811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eastAsia="Times New Roman" w:cs="Times New Roman"/>
          <w:bCs/>
          <w:sz w:val="20"/>
          <w:szCs w:val="20"/>
        </w:rPr>
        <w:t xml:space="preserve">Приложение 4</w:t>
      </w:r>
      <w:r>
        <w:rPr>
          <w:rFonts w:ascii="Times New Roman" w:hAnsi="Times New Roman" w:cs="Times New Roman"/>
          <w:bCs/>
          <w:sz w:val="20"/>
          <w:szCs w:val="20"/>
        </w:rPr>
      </w:r>
      <w:r>
        <w:rPr>
          <w:rFonts w:ascii="Times New Roman" w:hAnsi="Times New Roman" w:cs="Times New Roman"/>
          <w:bCs/>
          <w:sz w:val="20"/>
          <w:szCs w:val="20"/>
        </w:rPr>
      </w:r>
    </w:p>
    <w:p>
      <w:pPr>
        <w:widowControl w:val="off"/>
        <w:suppressLineNumbers w:val="0"/>
        <w:ind w:left="0" w:right="-1" w:firstLine="5811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Cs/>
          <w:sz w:val="20"/>
          <w:szCs w:val="20"/>
        </w:rPr>
        <w:t xml:space="preserve">к протоколу заседания Комитета по развитию </w:t>
      </w:r>
      <w:r>
        <w:rPr>
          <w:sz w:val="20"/>
          <w:szCs w:val="20"/>
        </w:rPr>
      </w:r>
    </w:p>
    <w:p>
      <w:pPr>
        <w:widowControl w:val="off"/>
        <w:suppressLineNumbers w:val="0"/>
        <w:ind w:left="0" w:right="-1" w:firstLine="5811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Cs/>
          <w:sz w:val="20"/>
          <w:szCs w:val="20"/>
        </w:rPr>
        <w:t xml:space="preserve">розничного бизнеса от</w:t>
      </w:r>
      <w:r>
        <w:rPr>
          <w:rFonts w:ascii="Times New Roman" w:hAnsi="Times New Roman" w:eastAsia="Times New Roman" w:cs="Times New Roman"/>
          <w:bCs/>
          <w:sz w:val="20"/>
          <w:szCs w:val="20"/>
        </w:rPr>
        <w:t xml:space="preserve"> 21.03.2025</w:t>
      </w:r>
      <w:r>
        <w:rPr>
          <w:rFonts w:ascii="Times New Roman" w:hAnsi="Times New Roman" w:eastAsia="Times New Roman" w:cs="Times New Roman"/>
          <w:bCs/>
          <w:sz w:val="20"/>
          <w:szCs w:val="20"/>
        </w:rPr>
        <w:t xml:space="preserve"> №18</w:t>
      </w:r>
      <w:r>
        <w:rPr>
          <w:rFonts w:ascii="Times New Roman" w:hAnsi="Times New Roman" w:eastAsia="Times New Roman" w:cs="Times New Roman"/>
          <w:bCs/>
          <w:sz w:val="20"/>
          <w:szCs w:val="20"/>
        </w:rPr>
        <w:t xml:space="preserve"> </w:t>
      </w:r>
      <w:r>
        <w:rPr>
          <w:sz w:val="20"/>
          <w:szCs w:val="20"/>
        </w:rPr>
      </w:r>
    </w:p>
    <w:p>
      <w:pPr>
        <w:pStyle w:val="938"/>
        <w:spacing w:line="276" w:lineRule="auto"/>
        <w:ind w:left="0" w:right="-1" w:firstLine="5811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8"/>
        <w:spacing w:line="276" w:lineRule="auto"/>
        <w:jc w:val="center"/>
        <w:rPr>
          <w:b/>
        </w:rPr>
      </w:pPr>
      <w:r>
        <w:rPr>
          <w:b/>
        </w:rPr>
        <w:t xml:space="preserve">Правила проведения акции</w:t>
      </w:r>
      <w:r>
        <w:rPr>
          <w:b/>
        </w:rPr>
      </w:r>
      <w:r>
        <w:rPr>
          <w:b/>
        </w:rPr>
      </w:r>
    </w:p>
    <w:p>
      <w:pPr>
        <w:pStyle w:val="938"/>
        <w:spacing w:line="276" w:lineRule="auto"/>
        <w:jc w:val="center"/>
        <w:rPr>
          <w:b/>
        </w:rPr>
      </w:pPr>
      <w:r>
        <w:rPr>
          <w:b/>
          <w:bCs/>
          <w:iCs/>
        </w:rPr>
        <w:t xml:space="preserve">«</w:t>
      </w:r>
      <w:r>
        <w:rPr>
          <w:b/>
          <w:bCs/>
          <w:iCs/>
        </w:rPr>
        <w:t xml:space="preserve">Специальные условия оформления Пакета услуг</w:t>
      </w:r>
      <w:r>
        <w:rPr>
          <w:b/>
          <w:bCs/>
          <w:iCs/>
        </w:rPr>
        <w:t xml:space="preserve">»</w:t>
      </w:r>
      <w:r>
        <w:rPr>
          <w:b/>
        </w:rPr>
      </w:r>
      <w:r>
        <w:rPr>
          <w:b/>
        </w:rPr>
      </w:r>
    </w:p>
    <w:p>
      <w:pPr>
        <w:pStyle w:val="938"/>
        <w:tabs>
          <w:tab w:val="left" w:pos="567" w:leader="none"/>
        </w:tabs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</w:r>
      <w:r>
        <w:rPr>
          <w:b/>
          <w:u w:val="single"/>
        </w:rPr>
      </w:r>
      <w:r>
        <w:rPr>
          <w:b/>
          <w:u w:val="single"/>
        </w:rPr>
      </w:r>
    </w:p>
    <w:p>
      <w:pPr>
        <w:pStyle w:val="938"/>
        <w:numPr>
          <w:numId w:val="3"/>
          <w:ilvl w:val="0"/>
        </w:numPr>
        <w:tabs>
          <w:tab w:val="left" w:pos="284" w:leader="none"/>
          <w:tab w:val="left" w:pos="993" w:leader="none"/>
          <w:tab w:val="left" w:pos="1134" w:leader="none"/>
          <w:tab w:val="left" w:pos="1276" w:leader="none"/>
        </w:tabs>
        <w:spacing w:line="276" w:lineRule="auto"/>
        <w:ind w:left="0" w:firstLine="850"/>
        <w:contextualSpacing/>
        <w:jc w:val="both"/>
      </w:pPr>
      <w:r>
        <w:rPr>
          <w:bCs/>
          <w:color w:val="000000"/>
        </w:rPr>
        <w:t xml:space="preserve">В </w:t>
      </w:r>
      <w:r>
        <w:rPr>
          <w:bCs/>
          <w:color w:val="000000"/>
        </w:rPr>
        <w:t xml:space="preserve">целях </w:t>
      </w:r>
      <w:r>
        <w:rPr>
          <w:bCs/>
          <w:color w:val="000000"/>
        </w:rPr>
        <w:t xml:space="preserve">привлечения физических лиц на премиальное обслуживание</w:t>
      </w:r>
      <w:r>
        <w:t xml:space="preserve"> и </w:t>
      </w:r>
      <w:r>
        <w:t xml:space="preserve">активизации </w:t>
      </w:r>
      <w:r>
        <w:t xml:space="preserve">использования продуктов и услуг, входящих в Пакет услуг</w:t>
      </w:r>
      <w:r>
        <w:t xml:space="preserve">, </w:t>
      </w:r>
      <w:r>
        <w:t xml:space="preserve">АО «Россельхозбанк» (далее – </w:t>
      </w:r>
      <w:r>
        <w:t xml:space="preserve">Банк</w:t>
      </w:r>
      <w:r>
        <w:t xml:space="preserve">)</w:t>
      </w:r>
      <w:r>
        <w:t xml:space="preserve"> проводит акцию «</w:t>
      </w:r>
      <w:r>
        <w:rPr>
          <w:bCs/>
          <w:iCs/>
        </w:rPr>
        <w:t xml:space="preserve">Специальные условия оформления Пакета услуг</w:t>
      </w:r>
      <w:r>
        <w:t xml:space="preserve">» </w:t>
      </w:r>
      <w:r>
        <w:rPr>
          <w:bCs/>
          <w:color w:val="000000"/>
        </w:rPr>
        <w:t xml:space="preserve">(далее – Акция).</w:t>
      </w:r>
    </w:p>
    <w:p>
      <w:pPr>
        <w:pStyle w:val="938"/>
        <w:numPr>
          <w:numId w:val="3"/>
          <w:ilvl w:val="0"/>
        </w:numPr>
        <w:tabs>
          <w:tab w:val="left" w:pos="284" w:leader="none"/>
          <w:tab w:val="left" w:pos="1134" w:leader="none"/>
        </w:tabs>
        <w:spacing w:line="276" w:lineRule="auto"/>
        <w:ind w:left="1276" w:hanging="567"/>
        <w:contextualSpacing/>
        <w:jc w:val="both"/>
      </w:pPr>
      <w:r>
        <w:rPr>
          <w:lang w:val="en-US"/>
        </w:rPr>
        <w:t xml:space="preserve">C</w:t>
      </w:r>
      <w:r>
        <w:t xml:space="preserve">рок проведения </w:t>
      </w:r>
      <w:r>
        <w:t xml:space="preserve">А</w:t>
      </w:r>
      <w:r>
        <w:t xml:space="preserve">кции: </w:t>
      </w:r>
      <w:r>
        <w:t xml:space="preserve">25 </w:t>
      </w:r>
      <w:r>
        <w:t xml:space="preserve">марта </w:t>
      </w:r>
      <w:r>
        <w:t xml:space="preserve">202</w:t>
      </w:r>
      <w:r>
        <w:t xml:space="preserve">5 года</w:t>
      </w:r>
    </w:p>
    <w:p>
      <w:pPr>
        <w:pStyle w:val="938"/>
        <w:numPr>
          <w:numId w:val="3"/>
          <w:ilvl w:val="0"/>
        </w:numPr>
        <w:tabs>
          <w:tab w:val="left" w:pos="284" w:leader="none"/>
          <w:tab w:val="left" w:pos="1134" w:leader="none"/>
        </w:tabs>
        <w:spacing w:line="276" w:lineRule="auto"/>
        <w:ind w:left="0" w:firstLine="709"/>
        <w:contextualSpacing/>
        <w:jc w:val="both"/>
      </w:pPr>
      <w:r>
        <w:t xml:space="preserve">Место </w:t>
      </w:r>
      <w:r>
        <w:t xml:space="preserve">проведения </w:t>
      </w:r>
      <w:r>
        <w:t xml:space="preserve">А</w:t>
      </w:r>
      <w:r>
        <w:t xml:space="preserve">кци</w:t>
      </w:r>
      <w:r>
        <w:t xml:space="preserve">и</w:t>
      </w:r>
      <w:r>
        <w:t xml:space="preserve">:</w:t>
      </w:r>
    </w:p>
    <w:p>
      <w:pPr>
        <w:tabs>
          <w:tab w:val="left" w:pos="0" w:leader="none"/>
          <w:tab w:val="left" w:pos="284" w:leader="none"/>
          <w:tab w:val="left" w:pos="567" w:leader="none"/>
        </w:tabs>
        <w:spacing w:line="276" w:lineRule="auto"/>
        <w:ind w:firstLine="1134"/>
        <w:contextualSpacing/>
        <w:jc w:val="both"/>
        <w:rPr>
          <w14:ligatures w14:val="none"/>
        </w:rPr>
      </w:pPr>
      <w:r>
        <w:t xml:space="preserve">Кемеровский</w:t>
      </w:r>
      <w:r>
        <w:t xml:space="preserve"> РФ АО «Россельхозбанк» (</w:t>
      </w:r>
      <w:r>
        <w:t xml:space="preserve">Центральный офис</w:t>
      </w:r>
      <w:r>
        <w:t xml:space="preserve"> </w:t>
      </w:r>
      <w:r>
        <w:t xml:space="preserve">Кемеровского РФ </w:t>
      </w:r>
      <w:r>
        <w:br/>
      </w:r>
      <w:r>
        <w:t xml:space="preserve">АО «Россельхозбанк» №3349/56</w:t>
      </w:r>
      <w:r>
        <w:t xml:space="preserve">/00, </w:t>
      </w:r>
      <w:r>
        <w:t xml:space="preserve">Кемеровская область г. Кемерово, Центральный район, пр-кт Советский, 8а</w:t>
      </w:r>
      <w:r>
        <w:t xml:space="preserve">)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938"/>
        <w:tabs>
          <w:tab w:val="left" w:pos="284" w:leader="none"/>
          <w:tab w:val="left" w:pos="567" w:leader="none"/>
          <w:tab w:val="left" w:pos="993" w:leader="none"/>
        </w:tabs>
        <w:spacing w:line="276" w:lineRule="auto"/>
        <w:ind w:firstLine="709"/>
        <w:contextualSpacing/>
        <w:jc w:val="both"/>
      </w:pPr>
      <w:r>
        <w:t xml:space="preserve">4. </w:t>
      </w:r>
      <w:r>
        <w:t xml:space="preserve">Условия </w:t>
      </w:r>
      <w:r>
        <w:t xml:space="preserve">А</w:t>
      </w:r>
      <w:r>
        <w:t xml:space="preserve">кции:</w:t>
      </w:r>
      <w:r>
        <w:t xml:space="preserve"> </w:t>
      </w:r>
      <w:r>
        <w:t xml:space="preserve">для клиентов, подавших заявление на комплексное банковское обслуживание в рамках тарифного плана «Пакет услуг «Ультра» в срок проведения Акции, указанный в п. 2 настоящих Правил</w:t>
      </w:r>
      <w:r>
        <w:t xml:space="preserve">,</w:t>
      </w:r>
      <w:r>
        <w:t xml:space="preserve"> в подразделениях Банка, указанных в п. 3 настоящих Правил, комиссия за обслуживание Пакета услуг «Ультра» при оформлении Пакета услуг Ультра</w:t>
      </w:r>
      <w:r>
        <w:t xml:space="preserve">» на</w:t>
      </w:r>
      <w:r>
        <w:t xml:space="preserve"> период с 25</w:t>
      </w:r>
      <w:r>
        <w:t xml:space="preserve">.</w:t>
      </w:r>
      <w:r>
        <w:t xml:space="preserve">03.2025 до </w:t>
      </w:r>
      <w:r>
        <w:t xml:space="preserve">24.</w:t>
      </w:r>
      <w:r>
        <w:t xml:space="preserve">03.2026 включительно, не взимается.</w:t>
      </w:r>
    </w:p>
    <w:p>
      <w:pPr>
        <w:pStyle w:val="938"/>
        <w:tabs>
          <w:tab w:val="left" w:pos="709" w:leader="none"/>
          <w:tab w:val="left" w:pos="1134" w:leader="none"/>
        </w:tabs>
        <w:spacing w:line="276" w:lineRule="auto"/>
        <w:ind w:firstLine="709"/>
        <w:contextualSpacing/>
        <w:jc w:val="both"/>
      </w:pPr>
      <w:r>
        <w:t xml:space="preserve">5. </w:t>
      </w:r>
      <w:r>
        <w:t xml:space="preserve">Участники Акции</w:t>
      </w:r>
      <w:r>
        <w:t xml:space="preserve">: физические лица</w:t>
      </w:r>
      <w:r>
        <w:t xml:space="preserve">, </w:t>
      </w:r>
      <w:r>
        <w:t xml:space="preserve">подавшие заявлен</w:t>
      </w:r>
      <w:r>
        <w:t xml:space="preserve">ие на</w:t>
      </w:r>
      <w:r>
        <w:t xml:space="preserve"> </w:t>
      </w:r>
      <w:r>
        <w:t xml:space="preserve">комплексное банковское обслуживание в рамках Тарифного плана</w:t>
      </w:r>
      <w:r>
        <w:t xml:space="preserve"> </w:t>
      </w:r>
      <w:r>
        <w:t xml:space="preserve">«</w:t>
      </w:r>
      <w:r>
        <w:t xml:space="preserve">Пакет </w:t>
      </w:r>
      <w:r>
        <w:t xml:space="preserve">услуг</w:t>
      </w:r>
      <w:r>
        <w:t xml:space="preserve"> </w:t>
      </w:r>
      <w:r>
        <w:t xml:space="preserve">«Ультра»</w:t>
      </w:r>
      <w:r>
        <w:t xml:space="preserve"> </w:t>
      </w:r>
      <w:r>
        <w:t xml:space="preserve">в </w:t>
      </w:r>
      <w:r>
        <w:t xml:space="preserve">срок </w:t>
      </w:r>
      <w:r>
        <w:t xml:space="preserve">проведения </w:t>
      </w:r>
      <w:r>
        <w:t xml:space="preserve">Акции, указанный в пункте </w:t>
      </w:r>
      <w:r>
        <w:t xml:space="preserve">2</w:t>
      </w:r>
      <w:r>
        <w:t xml:space="preserve"> настоящих Правил</w:t>
      </w:r>
      <w:r>
        <w:t xml:space="preserve"> в подразделениях Банка, указанных в п.3 настоящих Правил</w:t>
      </w:r>
      <w:r>
        <w:t xml:space="preserve">.</w:t>
      </w:r>
    </w:p>
    <w:p>
      <w:pPr>
        <w:pStyle w:val="938"/>
        <w:tabs>
          <w:tab w:val="left" w:pos="284" w:leader="none"/>
        </w:tabs>
        <w:spacing w:line="276" w:lineRule="auto"/>
        <w:ind w:left="850" w:hanging="141"/>
        <w:contextualSpacing/>
        <w:jc w:val="both"/>
      </w:pPr>
      <w:r>
        <w:t xml:space="preserve">6. </w:t>
      </w:r>
      <w:r>
        <w:t xml:space="preserve">Организатором Акции является</w:t>
      </w:r>
      <w:r>
        <w:t xml:space="preserve"> Банк.</w:t>
      </w:r>
    </w:p>
    <w:p>
      <w:pPr>
        <w:pStyle w:val="938"/>
        <w:tabs>
          <w:tab w:val="left" w:pos="284" w:leader="none"/>
          <w:tab w:val="left" w:pos="709" w:leader="none"/>
        </w:tabs>
        <w:spacing w:line="276" w:lineRule="auto"/>
        <w:ind w:left="142" w:firstLine="567"/>
        <w:contextualSpacing/>
        <w:jc w:val="both"/>
      </w:pPr>
      <w:r>
        <w:t xml:space="preserve">7. </w:t>
      </w:r>
      <w:r>
        <w:t xml:space="preserve">Ответственный за проведение Акции</w:t>
      </w:r>
      <w:r>
        <w:t xml:space="preserve">: </w:t>
      </w:r>
    </w:p>
    <w:p>
      <w:pPr>
        <w:pStyle w:val="938"/>
        <w:tabs>
          <w:tab w:val="left" w:pos="284" w:leader="none"/>
          <w:tab w:val="left" w:pos="993" w:leader="none"/>
        </w:tabs>
        <w:spacing w:line="276" w:lineRule="auto"/>
        <w:jc w:val="both"/>
      </w:pPr>
      <w:r>
        <w:t xml:space="preserve">Региональные филиалы</w:t>
      </w:r>
      <w:r>
        <w:t xml:space="preserve"> </w:t>
      </w:r>
      <w:r>
        <w:t xml:space="preserve">Банка, указанные в пункте 3 настоящих Правил</w:t>
      </w:r>
      <w:r>
        <w:t xml:space="preserve">. </w:t>
      </w:r>
    </w:p>
    <w:p>
      <w:pPr>
        <w:pStyle w:val="938"/>
        <w:tabs>
          <w:tab w:val="left" w:pos="284" w:leader="none"/>
          <w:tab w:val="left" w:pos="709" w:leader="none"/>
        </w:tabs>
        <w:spacing w:line="276" w:lineRule="auto"/>
        <w:ind w:left="850" w:hanging="141"/>
        <w:contextualSpacing/>
        <w:jc w:val="both"/>
      </w:pPr>
      <w:r>
        <w:t xml:space="preserve">8. </w:t>
      </w:r>
      <w:r>
        <w:t xml:space="preserve">Порядок информирования об условиях Акции: </w:t>
      </w:r>
    </w:p>
    <w:p>
      <w:pPr>
        <w:pStyle w:val="938"/>
        <w:numPr>
          <w:numId w:val="15"/>
          <w:ilvl w:val="0"/>
        </w:numPr>
        <w:tabs>
          <w:tab w:val="left" w:pos="1134" w:leader="none"/>
        </w:tabs>
        <w:spacing w:line="276" w:lineRule="auto"/>
        <w:ind w:left="0" w:firstLine="709"/>
        <w:jc w:val="both"/>
      </w:pPr>
      <w:r>
        <w:t xml:space="preserve">р</w:t>
      </w:r>
      <w:r>
        <w:t xml:space="preserve">азмещение полной информации об А</w:t>
      </w:r>
      <w:r>
        <w:t xml:space="preserve">кции на интернет-сайте Банка/странице филиала на интернет-сайте Б</w:t>
      </w:r>
      <w:r>
        <w:t xml:space="preserve">анка не позднее дня проведения А</w:t>
      </w:r>
      <w:r>
        <w:t xml:space="preserve">кции;</w:t>
      </w:r>
    </w:p>
    <w:p>
      <w:pPr>
        <w:pStyle w:val="938"/>
        <w:numPr>
          <w:numId w:val="15"/>
          <w:ilvl w:val="0"/>
        </w:numPr>
        <w:spacing w:line="276" w:lineRule="auto"/>
        <w:ind w:left="0" w:firstLine="709"/>
        <w:jc w:val="both"/>
      </w:pPr>
      <w:r>
        <w:t xml:space="preserve">р</w:t>
      </w:r>
      <w:r>
        <w:t xml:space="preserve">азмещение полной информации об А</w:t>
      </w:r>
      <w:r>
        <w:t xml:space="preserve">кции в подразделени</w:t>
      </w:r>
      <w:r>
        <w:t xml:space="preserve">ях</w:t>
      </w:r>
      <w:r>
        <w:t xml:space="preserve"> Банка</w:t>
      </w:r>
      <w:r>
        <w:t xml:space="preserve">, указанных в пункте 3 настоящих Правил</w:t>
      </w:r>
      <w:r>
        <w:t xml:space="preserve">.</w:t>
      </w:r>
    </w:p>
    <w:p>
      <w:pPr>
        <w:pStyle w:val="938"/>
        <w:tabs>
          <w:tab w:val="left" w:pos="284" w:leader="none"/>
          <w:tab w:val="left" w:pos="709" w:leader="none"/>
        </w:tabs>
        <w:spacing w:line="276" w:lineRule="auto"/>
        <w:ind w:left="142" w:firstLine="567"/>
        <w:contextualSpacing/>
        <w:jc w:val="both"/>
      </w:pPr>
      <w:r>
        <w:t xml:space="preserve">9. </w:t>
      </w:r>
      <w:r>
        <w:t xml:space="preserve">Особые условия проведения Акции: </w:t>
      </w:r>
    </w:p>
    <w:p>
      <w:pPr>
        <w:pStyle w:val="938"/>
        <w:tabs>
          <w:tab w:val="left" w:pos="567" w:leader="none"/>
          <w:tab w:val="left" w:pos="1134" w:leader="none"/>
        </w:tabs>
        <w:ind w:firstLine="709"/>
        <w:jc w:val="both"/>
      </w:pPr>
      <w:r>
        <w:t xml:space="preserve">9.1. </w:t>
      </w:r>
      <w:r>
        <w:tab/>
        <w:t xml:space="preserve">Банк </w:t>
      </w:r>
      <w:r>
        <w:t xml:space="preserve">оставляет за собой право </w:t>
      </w:r>
      <w:r>
        <w:t xml:space="preserve">отказать клиенту в оформлении Пакета услуг в рамках Акции в случае, если клиент не соответствует п. 5 настоящих Правил</w:t>
      </w:r>
      <w:r>
        <w:t xml:space="preserve">.</w:t>
      </w:r>
    </w:p>
    <w:p>
      <w:pPr>
        <w:pStyle w:val="938"/>
        <w:tabs>
          <w:tab w:val="left" w:pos="567" w:leader="none"/>
          <w:tab w:val="left" w:pos="1134" w:leader="none"/>
        </w:tabs>
        <w:ind w:firstLine="709"/>
        <w:jc w:val="both"/>
      </w:pPr>
      <w:r>
        <w:t xml:space="preserve">9.2. </w:t>
      </w:r>
      <w:r>
        <w:tab/>
        <w:t xml:space="preserve">Банк осуществляет оформление Пакета</w:t>
      </w:r>
      <w:r>
        <w:t xml:space="preserve"> услуг</w:t>
      </w:r>
      <w:r>
        <w:t xml:space="preserve"> </w:t>
      </w:r>
      <w:r>
        <w:t xml:space="preserve">«Ультра» на условиях А</w:t>
      </w:r>
      <w:r>
        <w:t xml:space="preserve">кции, указанных в п. 4 настоящих правил, </w:t>
      </w:r>
      <w:r>
        <w:t xml:space="preserve">на основании полученного от участника Акции заявления на</w:t>
      </w:r>
      <w:r>
        <w:t xml:space="preserve"> </w:t>
      </w:r>
      <w:r>
        <w:t xml:space="preserve">комплексное банковское обслуживание в рамках Тарифного плана «Пакет услуг</w:t>
      </w:r>
      <w:r>
        <w:t xml:space="preserve"> </w:t>
      </w:r>
      <w:r>
        <w:t xml:space="preserve">«Ультра» Пакета</w:t>
      </w:r>
      <w:r>
        <w:t xml:space="preserve"> услуг,</w:t>
      </w:r>
      <w:r>
        <w:t xml:space="preserve"> а дальнейшее обслуживание в рамках Пакета</w:t>
      </w:r>
      <w:r>
        <w:t xml:space="preserve"> услуг</w:t>
      </w:r>
      <w:r>
        <w:t xml:space="preserve">, оформленного в </w:t>
      </w:r>
      <w:r>
        <w:t xml:space="preserve">дату проведения Акции</w:t>
      </w:r>
      <w:r>
        <w:t xml:space="preserve">, осуществляется согласно действующ</w:t>
      </w:r>
      <w:r>
        <w:t xml:space="preserve">им</w:t>
      </w:r>
      <w:r>
        <w:t xml:space="preserve"> тарифн</w:t>
      </w:r>
      <w:r>
        <w:t xml:space="preserve">ым</w:t>
      </w:r>
      <w:r>
        <w:t xml:space="preserve"> план</w:t>
      </w:r>
      <w:r>
        <w:t xml:space="preserve">ам «Пакет услуг «</w:t>
      </w:r>
      <w:r>
        <w:t xml:space="preserve">Ультра</w:t>
      </w:r>
      <w:r>
        <w:t xml:space="preserve">»</w:t>
      </w:r>
      <w:r>
        <w:t xml:space="preserve"> </w:t>
      </w:r>
      <w:r>
        <w:t xml:space="preserve">и Условиям комплексного банковского обслуживания </w:t>
      </w:r>
      <w:r>
        <w:t xml:space="preserve">  </w:t>
      </w:r>
      <w:r>
        <w:t xml:space="preserve">держателей</w:t>
      </w:r>
      <w:r>
        <w:t xml:space="preserve"> карт </w:t>
      </w:r>
      <w:r>
        <w:t xml:space="preserve">Банка</w:t>
      </w:r>
      <w:r>
        <w:t xml:space="preserve">.</w:t>
      </w:r>
    </w:p>
    <w:p>
      <w:pPr>
        <w:pStyle w:val="938"/>
        <w:tabs>
          <w:tab w:val="left" w:pos="1134" w:leader="none"/>
        </w:tabs>
        <w:ind w:firstLine="708"/>
        <w:jc w:val="both"/>
      </w:pPr>
      <w:r>
        <w:t xml:space="preserve">9.3. </w:t>
      </w:r>
      <w:r>
        <w:tab/>
        <w:t xml:space="preserve">Клиент имеет право отказаться от Пакета</w:t>
      </w:r>
      <w:r>
        <w:t xml:space="preserve"> услуг</w:t>
      </w:r>
      <w:r>
        <w:t xml:space="preserve"> </w:t>
      </w:r>
      <w:r>
        <w:t xml:space="preserve">в порядке, предусмотренном Условиями комплексного</w:t>
      </w:r>
      <w:r>
        <w:t xml:space="preserve"> банковского о</w:t>
      </w:r>
      <w:r>
        <w:t xml:space="preserve">бслуживания держателей карт Банка</w:t>
      </w:r>
      <w:r>
        <w:t xml:space="preserve">.</w:t>
      </w:r>
    </w:p>
    <w:p>
      <w:pPr>
        <w:pStyle w:val="938"/>
        <w:tabs>
          <w:tab w:val="left" w:pos="1134" w:leader="none"/>
        </w:tabs>
        <w:ind w:firstLine="708"/>
        <w:jc w:val="both"/>
      </w:pPr>
      <w:r>
        <w:t xml:space="preserve">9.4. </w:t>
      </w:r>
      <w:r>
        <w:t xml:space="preserve">Факт подачи заявления на комплексное банковское обслуживание в рамках</w:t>
      </w:r>
      <w:r>
        <w:t xml:space="preserve"> тарифного плана «Пакет услуг «Ультра</w:t>
      </w:r>
      <w:r>
        <w:t xml:space="preserve">» означает ознакомление и полное согласие Участника Акции с настоящими Правилами, Условиями комплексного банковского обслуживания держателей карт </w:t>
      </w:r>
      <w:r>
        <w:t xml:space="preserve">АО «Россельхозбанк», Условиями предоставления банковских продуктов физическим лицам в рамках Пакета услуг АО «Россельхозбанк», участие в Акции является добровольным.</w:t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6" w:h="16838" w:orient="portrait"/>
      <w:pgMar w:top="-590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jc w:val="center"/>
    </w:pPr>
  </w:p>
  <w:p>
    <w:pPr>
      <w:pStyle w:val="95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framePr w:wrap="around" w:vAnchor="text" w:hAnchor="margin" w:xAlign="center" w:y="1"/>
      <w:rPr>
        <w:rStyle w:val="949"/>
      </w:rPr>
    </w:pPr>
    <w:r>
      <w:rPr>
        <w:rStyle w:val="949"/>
      </w:rPr>
      <w:fldChar w:fldCharType="begin"/>
    </w:r>
    <w:r>
      <w:rPr>
        <w:rStyle w:val="949"/>
      </w:rPr>
      <w:instrText xml:space="preserve">PAGE  </w:instrText>
    </w:r>
    <w:r>
      <w:rPr>
        <w:rStyle w:val="949"/>
      </w:rPr>
      <w:fldChar w:fldCharType="separate"/>
    </w:r>
    <w:r>
      <w:rPr>
        <w:rStyle w:val="949"/>
      </w:rPr>
      <w:t xml:space="preserve">2</w:t>
    </w:r>
    <w:r>
      <w:rPr>
        <w:rStyle w:val="949"/>
      </w:rPr>
      <w:fldChar w:fldCharType="end"/>
    </w:r>
    <w:r>
      <w:rPr>
        <w:rStyle w:val="949"/>
      </w:rPr>
    </w:r>
    <w:r>
      <w:rPr>
        <w:rStyle w:val="949"/>
      </w:rPr>
    </w:r>
  </w:p>
  <w:p>
    <w:pPr>
      <w:pStyle w:val="94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ind w:left="652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429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0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14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8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069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847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625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403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472" w:hanging="1800"/>
      </w:pPr>
    </w:lvl>
  </w:abstractNum>
  <w:abstractNum w:abstractNumId="9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99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71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43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15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7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9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31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03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757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2"/>
      <w:numFmt w:val="decimal"/>
      <w:isLgl w:val="false"/>
      <w:suff w:val="tab"/>
      <w:lvlText w:val="%1.%2"/>
      <w:lvlJc w:val="left"/>
      <w:pPr>
        <w:ind w:left="1069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09" w:hanging="180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1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1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3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5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7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9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1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3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5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72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8"/>
  </w:num>
  <w:num w:numId="3">
    <w:abstractNumId w:val="7"/>
  </w:num>
  <w:num w:numId="4">
    <w:abstractNumId w:val="2"/>
  </w:num>
  <w:num w:numId="5">
    <w:abstractNumId w:val="4"/>
  </w:num>
  <w:num w:numId="6">
    <w:abstractNumId w:val="19"/>
  </w:num>
  <w:num w:numId="7">
    <w:abstractNumId w:val="10"/>
  </w:num>
  <w:num w:numId="8">
    <w:abstractNumId w:val="1"/>
  </w:num>
  <w:num w:numId="9">
    <w:abstractNumId w:val="11"/>
  </w:num>
  <w:num w:numId="10">
    <w:abstractNumId w:val="20"/>
  </w:num>
  <w:num w:numId="11">
    <w:abstractNumId w:val="12"/>
  </w:num>
  <w:num w:numId="12">
    <w:abstractNumId w:val="0"/>
  </w:num>
  <w:num w:numId="13">
    <w:abstractNumId w:val="21"/>
  </w:num>
  <w:num w:numId="14">
    <w:abstractNumId w:val="22"/>
  </w:num>
  <w:num w:numId="15">
    <w:abstractNumId w:val="17"/>
  </w:num>
  <w:num w:numId="16">
    <w:abstractNumId w:val="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16"/>
  </w:num>
  <w:num w:numId="21">
    <w:abstractNumId w:val="6"/>
  </w:num>
  <w:num w:numId="22">
    <w:abstractNumId w:val="13"/>
  </w:num>
  <w:num w:numId="23">
    <w:abstractNumId w:val="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0">
    <w:name w:val="Heading 1"/>
    <w:basedOn w:val="938"/>
    <w:next w:val="938"/>
    <w:link w:val="76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1">
    <w:name w:val="Heading 1 Char"/>
    <w:link w:val="760"/>
    <w:uiPriority w:val="9"/>
    <w:rPr>
      <w:rFonts w:ascii="Arial" w:hAnsi="Arial" w:eastAsia="Arial" w:cs="Arial"/>
      <w:sz w:val="40"/>
      <w:szCs w:val="40"/>
    </w:rPr>
  </w:style>
  <w:style w:type="paragraph" w:styleId="762">
    <w:name w:val="Heading 2"/>
    <w:basedOn w:val="938"/>
    <w:next w:val="938"/>
    <w:link w:val="76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3">
    <w:name w:val="Heading 2 Char"/>
    <w:link w:val="762"/>
    <w:uiPriority w:val="9"/>
    <w:rPr>
      <w:rFonts w:ascii="Arial" w:hAnsi="Arial" w:eastAsia="Arial" w:cs="Arial"/>
      <w:sz w:val="34"/>
    </w:rPr>
  </w:style>
  <w:style w:type="paragraph" w:styleId="764">
    <w:name w:val="Heading 3"/>
    <w:basedOn w:val="938"/>
    <w:next w:val="938"/>
    <w:link w:val="76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5">
    <w:name w:val="Heading 3 Char"/>
    <w:link w:val="764"/>
    <w:uiPriority w:val="9"/>
    <w:rPr>
      <w:rFonts w:ascii="Arial" w:hAnsi="Arial" w:eastAsia="Arial" w:cs="Arial"/>
      <w:sz w:val="30"/>
      <w:szCs w:val="30"/>
    </w:rPr>
  </w:style>
  <w:style w:type="paragraph" w:styleId="766">
    <w:name w:val="Heading 4"/>
    <w:basedOn w:val="938"/>
    <w:next w:val="938"/>
    <w:link w:val="76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7">
    <w:name w:val="Heading 4 Char"/>
    <w:link w:val="766"/>
    <w:uiPriority w:val="9"/>
    <w:rPr>
      <w:rFonts w:ascii="Arial" w:hAnsi="Arial" w:eastAsia="Arial" w:cs="Arial"/>
      <w:b/>
      <w:bCs/>
      <w:sz w:val="26"/>
      <w:szCs w:val="26"/>
    </w:rPr>
  </w:style>
  <w:style w:type="paragraph" w:styleId="768">
    <w:name w:val="Heading 5"/>
    <w:basedOn w:val="938"/>
    <w:next w:val="938"/>
    <w:link w:val="76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9">
    <w:name w:val="Heading 5 Char"/>
    <w:link w:val="768"/>
    <w:uiPriority w:val="9"/>
    <w:rPr>
      <w:rFonts w:ascii="Arial" w:hAnsi="Arial" w:eastAsia="Arial" w:cs="Arial"/>
      <w:b/>
      <w:bCs/>
      <w:sz w:val="24"/>
      <w:szCs w:val="24"/>
    </w:rPr>
  </w:style>
  <w:style w:type="paragraph" w:styleId="770">
    <w:name w:val="Heading 6"/>
    <w:basedOn w:val="938"/>
    <w:next w:val="938"/>
    <w:link w:val="77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1">
    <w:name w:val="Heading 6 Char"/>
    <w:link w:val="770"/>
    <w:uiPriority w:val="9"/>
    <w:rPr>
      <w:rFonts w:ascii="Arial" w:hAnsi="Arial" w:eastAsia="Arial" w:cs="Arial"/>
      <w:b/>
      <w:bCs/>
      <w:sz w:val="22"/>
      <w:szCs w:val="22"/>
    </w:rPr>
  </w:style>
  <w:style w:type="paragraph" w:styleId="772">
    <w:name w:val="Heading 7"/>
    <w:basedOn w:val="938"/>
    <w:next w:val="938"/>
    <w:link w:val="77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3">
    <w:name w:val="Heading 7 Char"/>
    <w:link w:val="7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4">
    <w:name w:val="Heading 8"/>
    <w:basedOn w:val="938"/>
    <w:next w:val="938"/>
    <w:link w:val="77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5">
    <w:name w:val="Heading 8 Char"/>
    <w:link w:val="774"/>
    <w:uiPriority w:val="9"/>
    <w:rPr>
      <w:rFonts w:ascii="Arial" w:hAnsi="Arial" w:eastAsia="Arial" w:cs="Arial"/>
      <w:i/>
      <w:iCs/>
      <w:sz w:val="22"/>
      <w:szCs w:val="22"/>
    </w:rPr>
  </w:style>
  <w:style w:type="paragraph" w:styleId="776">
    <w:name w:val="Heading 9"/>
    <w:basedOn w:val="938"/>
    <w:next w:val="938"/>
    <w:link w:val="77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7">
    <w:name w:val="Heading 9 Char"/>
    <w:link w:val="776"/>
    <w:uiPriority w:val="9"/>
    <w:rPr>
      <w:rFonts w:ascii="Arial" w:hAnsi="Arial" w:eastAsia="Arial" w:cs="Arial"/>
      <w:i/>
      <w:iCs/>
      <w:sz w:val="21"/>
      <w:szCs w:val="21"/>
    </w:rPr>
  </w:style>
  <w:style w:type="paragraph" w:styleId="778">
    <w:name w:val="List Paragraph"/>
    <w:basedOn w:val="938"/>
    <w:uiPriority w:val="34"/>
    <w:qFormat/>
    <w:pPr>
      <w:ind w:left="720"/>
      <w:contextualSpacing/>
    </w:pPr>
  </w:style>
  <w:style w:type="paragraph" w:styleId="779">
    <w:name w:val="No Spacing"/>
    <w:uiPriority w:val="1"/>
    <w:qFormat/>
    <w:pPr>
      <w:spacing w:before="0" w:after="0" w:line="240" w:lineRule="auto"/>
    </w:pPr>
  </w:style>
  <w:style w:type="paragraph" w:styleId="780">
    <w:name w:val="Title"/>
    <w:basedOn w:val="938"/>
    <w:next w:val="938"/>
    <w:link w:val="781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81">
    <w:name w:val="Title Char"/>
    <w:link w:val="780"/>
    <w:uiPriority w:val="10"/>
    <w:rPr>
      <w:sz w:val="48"/>
      <w:szCs w:val="48"/>
    </w:rPr>
  </w:style>
  <w:style w:type="paragraph" w:styleId="782">
    <w:name w:val="Subtitle"/>
    <w:basedOn w:val="938"/>
    <w:next w:val="938"/>
    <w:link w:val="783"/>
    <w:uiPriority w:val="11"/>
    <w:qFormat/>
    <w:pPr>
      <w:spacing w:before="200" w:after="200"/>
    </w:pPr>
    <w:rPr>
      <w:sz w:val="24"/>
      <w:szCs w:val="24"/>
    </w:rPr>
  </w:style>
  <w:style w:type="character" w:styleId="783">
    <w:name w:val="Subtitle Char"/>
    <w:link w:val="782"/>
    <w:uiPriority w:val="11"/>
    <w:rPr>
      <w:sz w:val="24"/>
      <w:szCs w:val="24"/>
    </w:rPr>
  </w:style>
  <w:style w:type="paragraph" w:styleId="784">
    <w:name w:val="Quote"/>
    <w:basedOn w:val="938"/>
    <w:next w:val="938"/>
    <w:link w:val="785"/>
    <w:uiPriority w:val="29"/>
    <w:qFormat/>
    <w:pPr>
      <w:ind w:left="720" w:right="720"/>
    </w:pPr>
    <w:rPr>
      <w:i/>
    </w:rPr>
  </w:style>
  <w:style w:type="character" w:styleId="785">
    <w:name w:val="Quote Char"/>
    <w:link w:val="784"/>
    <w:uiPriority w:val="29"/>
    <w:rPr>
      <w:i/>
    </w:rPr>
  </w:style>
  <w:style w:type="paragraph" w:styleId="786">
    <w:name w:val="Intense Quote"/>
    <w:basedOn w:val="938"/>
    <w:next w:val="938"/>
    <w:link w:val="78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87">
    <w:name w:val="Intense Quote Char"/>
    <w:link w:val="786"/>
    <w:uiPriority w:val="30"/>
    <w:rPr>
      <w:i/>
    </w:rPr>
  </w:style>
  <w:style w:type="paragraph" w:styleId="788">
    <w:name w:val="Header"/>
    <w:basedOn w:val="938"/>
    <w:link w:val="78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89">
    <w:name w:val="Header Char"/>
    <w:link w:val="788"/>
    <w:uiPriority w:val="99"/>
  </w:style>
  <w:style w:type="paragraph" w:styleId="790">
    <w:name w:val="Footer"/>
    <w:basedOn w:val="938"/>
    <w:link w:val="79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91">
    <w:name w:val="Footer Char"/>
    <w:link w:val="790"/>
    <w:uiPriority w:val="99"/>
  </w:style>
  <w:style w:type="paragraph" w:styleId="792">
    <w:name w:val="Caption"/>
    <w:basedOn w:val="938"/>
    <w:next w:val="9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3">
    <w:name w:val="Caption Char"/>
    <w:basedOn w:val="792"/>
    <w:link w:val="790"/>
    <w:uiPriority w:val="99"/>
  </w:style>
  <w:style w:type="table" w:styleId="79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3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3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3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3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3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3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3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0">
    <w:name w:val="Hyperlink"/>
    <w:uiPriority w:val="99"/>
    <w:unhideWhenUsed/>
    <w:rPr>
      <w:color w:val="0000ff" w:themeColor="hyperlink"/>
      <w:u w:val="single"/>
    </w:rPr>
  </w:style>
  <w:style w:type="paragraph" w:styleId="921">
    <w:name w:val="footnote text"/>
    <w:basedOn w:val="938"/>
    <w:link w:val="922"/>
    <w:uiPriority w:val="99"/>
    <w:semiHidden/>
    <w:unhideWhenUsed/>
    <w:pPr>
      <w:spacing w:after="40" w:line="240" w:lineRule="auto"/>
    </w:pPr>
    <w:rPr>
      <w:sz w:val="18"/>
    </w:rPr>
  </w:style>
  <w:style w:type="character" w:styleId="922">
    <w:name w:val="Footnote Text Char"/>
    <w:link w:val="921"/>
    <w:uiPriority w:val="99"/>
    <w:rPr>
      <w:sz w:val="18"/>
    </w:rPr>
  </w:style>
  <w:style w:type="character" w:styleId="923">
    <w:name w:val="footnote reference"/>
    <w:uiPriority w:val="99"/>
    <w:unhideWhenUsed/>
    <w:rPr>
      <w:vertAlign w:val="superscript"/>
    </w:rPr>
  </w:style>
  <w:style w:type="paragraph" w:styleId="924">
    <w:name w:val="endnote text"/>
    <w:basedOn w:val="938"/>
    <w:link w:val="925"/>
    <w:uiPriority w:val="99"/>
    <w:semiHidden/>
    <w:unhideWhenUsed/>
    <w:pPr>
      <w:spacing w:after="0" w:line="240" w:lineRule="auto"/>
    </w:pPr>
    <w:rPr>
      <w:sz w:val="20"/>
    </w:rPr>
  </w:style>
  <w:style w:type="character" w:styleId="925">
    <w:name w:val="Endnote Text Char"/>
    <w:link w:val="924"/>
    <w:uiPriority w:val="99"/>
    <w:rPr>
      <w:sz w:val="20"/>
    </w:rPr>
  </w:style>
  <w:style w:type="character" w:styleId="926">
    <w:name w:val="endnote reference"/>
    <w:uiPriority w:val="99"/>
    <w:semiHidden/>
    <w:unhideWhenUsed/>
    <w:rPr>
      <w:vertAlign w:val="superscript"/>
    </w:rPr>
  </w:style>
  <w:style w:type="paragraph" w:styleId="927">
    <w:name w:val="toc 1"/>
    <w:basedOn w:val="938"/>
    <w:next w:val="938"/>
    <w:uiPriority w:val="39"/>
    <w:unhideWhenUsed/>
    <w:pPr>
      <w:spacing w:after="57"/>
      <w:ind w:left="0" w:right="0" w:firstLine="0"/>
    </w:pPr>
  </w:style>
  <w:style w:type="paragraph" w:styleId="928">
    <w:name w:val="toc 2"/>
    <w:basedOn w:val="938"/>
    <w:next w:val="938"/>
    <w:uiPriority w:val="39"/>
    <w:unhideWhenUsed/>
    <w:pPr>
      <w:spacing w:after="57"/>
      <w:ind w:left="283" w:right="0" w:firstLine="0"/>
    </w:pPr>
  </w:style>
  <w:style w:type="paragraph" w:styleId="929">
    <w:name w:val="toc 3"/>
    <w:basedOn w:val="938"/>
    <w:next w:val="938"/>
    <w:uiPriority w:val="39"/>
    <w:unhideWhenUsed/>
    <w:pPr>
      <w:spacing w:after="57"/>
      <w:ind w:left="567" w:right="0" w:firstLine="0"/>
    </w:pPr>
  </w:style>
  <w:style w:type="paragraph" w:styleId="930">
    <w:name w:val="toc 4"/>
    <w:basedOn w:val="938"/>
    <w:next w:val="938"/>
    <w:uiPriority w:val="39"/>
    <w:unhideWhenUsed/>
    <w:pPr>
      <w:spacing w:after="57"/>
      <w:ind w:left="850" w:right="0" w:firstLine="0"/>
    </w:pPr>
  </w:style>
  <w:style w:type="paragraph" w:styleId="931">
    <w:name w:val="toc 5"/>
    <w:basedOn w:val="938"/>
    <w:next w:val="938"/>
    <w:uiPriority w:val="39"/>
    <w:unhideWhenUsed/>
    <w:pPr>
      <w:spacing w:after="57"/>
      <w:ind w:left="1134" w:right="0" w:firstLine="0"/>
    </w:pPr>
  </w:style>
  <w:style w:type="paragraph" w:styleId="932">
    <w:name w:val="toc 6"/>
    <w:basedOn w:val="938"/>
    <w:next w:val="938"/>
    <w:uiPriority w:val="39"/>
    <w:unhideWhenUsed/>
    <w:pPr>
      <w:spacing w:after="57"/>
      <w:ind w:left="1417" w:right="0" w:firstLine="0"/>
    </w:pPr>
  </w:style>
  <w:style w:type="paragraph" w:styleId="933">
    <w:name w:val="toc 7"/>
    <w:basedOn w:val="938"/>
    <w:next w:val="938"/>
    <w:uiPriority w:val="39"/>
    <w:unhideWhenUsed/>
    <w:pPr>
      <w:spacing w:after="57"/>
      <w:ind w:left="1701" w:right="0" w:firstLine="0"/>
    </w:pPr>
  </w:style>
  <w:style w:type="paragraph" w:styleId="934">
    <w:name w:val="toc 8"/>
    <w:basedOn w:val="938"/>
    <w:next w:val="938"/>
    <w:uiPriority w:val="39"/>
    <w:unhideWhenUsed/>
    <w:pPr>
      <w:spacing w:after="57"/>
      <w:ind w:left="1984" w:right="0" w:firstLine="0"/>
    </w:pPr>
  </w:style>
  <w:style w:type="paragraph" w:styleId="935">
    <w:name w:val="toc 9"/>
    <w:basedOn w:val="938"/>
    <w:next w:val="938"/>
    <w:uiPriority w:val="39"/>
    <w:unhideWhenUsed/>
    <w:pPr>
      <w:spacing w:after="57"/>
      <w:ind w:left="2268" w:right="0" w:firstLine="0"/>
    </w:pPr>
  </w:style>
  <w:style w:type="paragraph" w:styleId="936">
    <w:name w:val="TOC Heading"/>
    <w:uiPriority w:val="39"/>
    <w:unhideWhenUsed/>
  </w:style>
  <w:style w:type="paragraph" w:styleId="937">
    <w:name w:val="table of figures"/>
    <w:basedOn w:val="938"/>
    <w:next w:val="938"/>
    <w:uiPriority w:val="99"/>
    <w:unhideWhenUsed/>
    <w:pPr>
      <w:spacing w:after="0" w:afterAutospacing="0"/>
    </w:pPr>
  </w:style>
  <w:style w:type="paragraph" w:styleId="938" w:default="1">
    <w:name w:val="Normal"/>
    <w:next w:val="938"/>
    <w:link w:val="938"/>
    <w:qFormat/>
    <w:rPr>
      <w:sz w:val="24"/>
      <w:szCs w:val="24"/>
      <w:lang w:val="ru-RU" w:eastAsia="ru-RU" w:bidi="ar-SA"/>
    </w:rPr>
  </w:style>
  <w:style w:type="paragraph" w:styleId="939">
    <w:name w:val="Заголовок 1"/>
    <w:basedOn w:val="938"/>
    <w:next w:val="938"/>
    <w:link w:val="938"/>
    <w:qFormat/>
    <w:pPr>
      <w:keepNext/>
      <w:jc w:val="center"/>
      <w:outlineLvl w:val="0"/>
    </w:pPr>
    <w:rPr>
      <w:sz w:val="28"/>
      <w:szCs w:val="28"/>
    </w:rPr>
  </w:style>
  <w:style w:type="paragraph" w:styleId="940">
    <w:name w:val="Заголовок 2"/>
    <w:basedOn w:val="938"/>
    <w:next w:val="938"/>
    <w:link w:val="938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41">
    <w:name w:val="Заголовок 3"/>
    <w:basedOn w:val="938"/>
    <w:next w:val="938"/>
    <w:link w:val="938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942">
    <w:name w:val="Основной шрифт абзаца"/>
    <w:next w:val="942"/>
    <w:link w:val="938"/>
  </w:style>
  <w:style w:type="table" w:styleId="943">
    <w:name w:val="Обычная таблица"/>
    <w:next w:val="943"/>
    <w:link w:val="938"/>
    <w:semiHidden/>
    <w:tblPr/>
  </w:style>
  <w:style w:type="numbering" w:styleId="944">
    <w:name w:val="Нет списка"/>
    <w:next w:val="944"/>
    <w:link w:val="938"/>
    <w:semiHidden/>
  </w:style>
  <w:style w:type="paragraph" w:styleId="945">
    <w:name w:val="Текст выноски"/>
    <w:basedOn w:val="938"/>
    <w:next w:val="945"/>
    <w:link w:val="938"/>
    <w:semiHidden/>
    <w:rPr>
      <w:rFonts w:ascii="Tahoma" w:hAnsi="Tahoma" w:cs="Tahoma"/>
      <w:sz w:val="16"/>
      <w:szCs w:val="16"/>
    </w:rPr>
  </w:style>
  <w:style w:type="paragraph" w:styleId="946">
    <w:name w:val="Верхний колонтитул"/>
    <w:basedOn w:val="938"/>
    <w:next w:val="946"/>
    <w:link w:val="956"/>
    <w:uiPriority w:val="99"/>
    <w:pPr>
      <w:tabs>
        <w:tab w:val="center" w:pos="4677" w:leader="none"/>
        <w:tab w:val="right" w:pos="9355" w:leader="none"/>
      </w:tabs>
    </w:pPr>
  </w:style>
  <w:style w:type="paragraph" w:styleId="947">
    <w:name w:val="Название"/>
    <w:basedOn w:val="938"/>
    <w:next w:val="947"/>
    <w:link w:val="938"/>
    <w:qFormat/>
    <w:pPr>
      <w:jc w:val="center"/>
    </w:pPr>
    <w:rPr>
      <w:b/>
      <w:bCs/>
      <w:sz w:val="28"/>
      <w:szCs w:val="28"/>
    </w:rPr>
  </w:style>
  <w:style w:type="paragraph" w:styleId="948">
    <w:name w:val="Основной текст"/>
    <w:basedOn w:val="938"/>
    <w:next w:val="948"/>
    <w:link w:val="938"/>
    <w:pPr>
      <w:keepNext/>
      <w:keepLines/>
      <w:spacing w:line="240" w:lineRule="atLeast"/>
    </w:pPr>
    <w:rPr>
      <w:color w:val="000000"/>
      <w:sz w:val="22"/>
      <w:szCs w:val="22"/>
    </w:rPr>
  </w:style>
  <w:style w:type="character" w:styleId="949">
    <w:name w:val="Номер страницы"/>
    <w:next w:val="949"/>
    <w:link w:val="938"/>
    <w:rPr>
      <w:rFonts w:cs="Times New Roman"/>
    </w:rPr>
  </w:style>
  <w:style w:type="paragraph" w:styleId="950">
    <w:name w:val="Текст сноски"/>
    <w:basedOn w:val="938"/>
    <w:next w:val="950"/>
    <w:link w:val="938"/>
    <w:rPr>
      <w:sz w:val="20"/>
      <w:szCs w:val="20"/>
    </w:rPr>
  </w:style>
  <w:style w:type="character" w:styleId="951">
    <w:name w:val="Знак сноски"/>
    <w:next w:val="951"/>
    <w:link w:val="938"/>
    <w:uiPriority w:val="99"/>
    <w:unhideWhenUsed/>
    <w:rPr>
      <w:vertAlign w:val="superscript"/>
    </w:rPr>
  </w:style>
  <w:style w:type="paragraph" w:styleId="952">
    <w:name w:val="Нижний колонтитул"/>
    <w:basedOn w:val="938"/>
    <w:next w:val="952"/>
    <w:link w:val="95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53">
    <w:name w:val="Нижний колонтитул Знак"/>
    <w:next w:val="953"/>
    <w:link w:val="952"/>
    <w:uiPriority w:val="99"/>
    <w:rPr>
      <w:sz w:val="24"/>
      <w:szCs w:val="24"/>
    </w:rPr>
  </w:style>
  <w:style w:type="character" w:styleId="954">
    <w:name w:val="Строгий"/>
    <w:next w:val="954"/>
    <w:link w:val="938"/>
    <w:uiPriority w:val="22"/>
    <w:qFormat/>
    <w:rPr>
      <w:b/>
      <w:bCs/>
    </w:rPr>
  </w:style>
  <w:style w:type="table" w:styleId="955">
    <w:name w:val="Сетка таблицы"/>
    <w:basedOn w:val="943"/>
    <w:next w:val="955"/>
    <w:link w:val="938"/>
    <w:tblPr/>
  </w:style>
  <w:style w:type="character" w:styleId="956">
    <w:name w:val="Верхний колонтитул Знак"/>
    <w:next w:val="956"/>
    <w:link w:val="946"/>
    <w:uiPriority w:val="99"/>
    <w:rPr>
      <w:sz w:val="24"/>
      <w:szCs w:val="24"/>
    </w:rPr>
  </w:style>
  <w:style w:type="character" w:styleId="957">
    <w:name w:val="Знак примечания"/>
    <w:next w:val="957"/>
    <w:link w:val="938"/>
    <w:rPr>
      <w:sz w:val="16"/>
      <w:szCs w:val="16"/>
    </w:rPr>
  </w:style>
  <w:style w:type="paragraph" w:styleId="958">
    <w:name w:val="Текст примечания"/>
    <w:basedOn w:val="938"/>
    <w:next w:val="958"/>
    <w:link w:val="959"/>
    <w:rPr>
      <w:sz w:val="20"/>
      <w:szCs w:val="20"/>
    </w:rPr>
  </w:style>
  <w:style w:type="character" w:styleId="959">
    <w:name w:val="Текст примечания Знак"/>
    <w:basedOn w:val="942"/>
    <w:next w:val="959"/>
    <w:link w:val="958"/>
  </w:style>
  <w:style w:type="paragraph" w:styleId="960">
    <w:name w:val="Тема примечания"/>
    <w:basedOn w:val="958"/>
    <w:next w:val="958"/>
    <w:link w:val="961"/>
    <w:rPr>
      <w:b/>
      <w:bCs/>
    </w:rPr>
  </w:style>
  <w:style w:type="character" w:styleId="961">
    <w:name w:val="Тема примечания Знак"/>
    <w:next w:val="961"/>
    <w:link w:val="960"/>
    <w:rPr>
      <w:b/>
      <w:bCs/>
    </w:rPr>
  </w:style>
  <w:style w:type="paragraph" w:styleId="962">
    <w:name w:val="Абзац списка"/>
    <w:basedOn w:val="938"/>
    <w:next w:val="962"/>
    <w:link w:val="938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963" w:default="1">
    <w:name w:val="Default Paragraph Font"/>
    <w:uiPriority w:val="1"/>
    <w:semiHidden/>
    <w:unhideWhenUsed/>
  </w:style>
  <w:style w:type="numbering" w:styleId="964" w:default="1">
    <w:name w:val="No List"/>
    <w:uiPriority w:val="99"/>
    <w:semiHidden/>
    <w:unhideWhenUsed/>
  </w:style>
  <w:style w:type="table" w:styleId="9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RSHB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Kuzina</dc:creator>
  <cp:revision>10</cp:revision>
  <dcterms:created xsi:type="dcterms:W3CDTF">2024-08-19T06:48:00Z</dcterms:created>
  <dcterms:modified xsi:type="dcterms:W3CDTF">2025-03-24T10:21:11Z</dcterms:modified>
  <cp:version>1048576</cp:version>
</cp:coreProperties>
</file>