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object w:dxaOrig="15796" w:dyaOrig="119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159.00pt;height:122.25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PBrush" ShapeID="_x0000_i0" Type="Embed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985" w:hanging="1985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Паспорт продукта </w:t>
      </w:r>
      <w:r>
        <w:rPr>
          <w:rFonts w:ascii="Times New Roman" w:hAnsi="Times New Roman" w:cs="Times New Roman"/>
          <w:b/>
          <w:sz w:val="24"/>
          <w:szCs w:val="20"/>
        </w:rPr>
        <w:t xml:space="preserve">«</w:t>
      </w:r>
      <w:r>
        <w:rPr>
          <w:rFonts w:ascii="Times New Roman" w:hAnsi="Times New Roman" w:cs="Times New Roman"/>
          <w:b/>
          <w:sz w:val="24"/>
          <w:szCs w:val="20"/>
        </w:rPr>
        <w:t xml:space="preserve">Накопительный счет</w:t>
      </w:r>
      <w:r>
        <w:rPr>
          <w:rFonts w:ascii="Times New Roman" w:hAnsi="Times New Roman" w:cs="Times New Roman"/>
          <w:b/>
          <w:sz w:val="24"/>
          <w:szCs w:val="20"/>
        </w:rPr>
        <w:t xml:space="preserve">»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</w:r>
      <w:r>
        <w:rPr>
          <w:rFonts w:ascii="Times New Roman" w:hAnsi="Times New Roman" w:cs="Times New Roman"/>
          <w:b/>
          <w:sz w:val="24"/>
          <w:szCs w:val="20"/>
        </w:rPr>
      </w:r>
    </w:p>
    <w:p>
      <w:pPr>
        <w:ind w:left="1985" w:hanging="1985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«Мо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й счет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»</w:t>
      </w:r>
      <w:r>
        <w:rPr>
          <w:rFonts w:ascii="Times New Roman" w:hAnsi="Times New Roman" w:cs="Times New Roman"/>
          <w:b/>
          <w:sz w:val="24"/>
          <w:szCs w:val="20"/>
          <w:u w:val="single"/>
        </w:rPr>
      </w:r>
      <w:r>
        <w:rPr>
          <w:rFonts w:ascii="Times New Roman" w:hAnsi="Times New Roman" w:cs="Times New Roman"/>
          <w:b/>
          <w:sz w:val="24"/>
          <w:szCs w:val="20"/>
          <w:u w:val="single"/>
        </w:rPr>
      </w:r>
    </w:p>
    <w:p>
      <w:pPr>
        <w:ind w:left="1985" w:hanging="1985"/>
        <w:spacing w:after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86"/>
        <w:jc w:val="both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документе представлено краткое изложение ключевой информации, которая относится к стандар</w:t>
      </w:r>
      <w:r>
        <w:rPr>
          <w:rFonts w:ascii="Times New Roman" w:hAnsi="Times New Roman" w:cs="Times New Roman"/>
          <w:sz w:val="20"/>
          <w:szCs w:val="20"/>
        </w:rPr>
        <w:t xml:space="preserve">тным условиям данного продукта.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3686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Информация, указанная в документе, не является рекламой и носит исключительно справочный характер.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18"/>
        <w:tblW w:w="9639" w:type="dxa"/>
        <w:tblInd w:w="-5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-1814"/>
              <w:jc w:val="center"/>
              <w:spacing w:before="120"/>
              <w:tabs>
                <w:tab w:val="left" w:pos="17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Кредитная организация: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АО «Россельхозбанк» (ИНН: 7725114488, ОГРН: 1027700342890)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Контактная информация: 119034, Москва, Гагаринский переулок, д. 3, контактный телефон: для звонков по</w:t>
      </w:r>
      <w:r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8 (800) 100-01-00, официальный сайт: https://www.rshb.ru.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18"/>
        <w:tblW w:w="9918" w:type="dxa"/>
        <w:tblLook w:val="04A0" w:firstRow="1" w:lastRow="0" w:firstColumn="1" w:lastColumn="0" w:noHBand="0" w:noVBand="1"/>
      </w:tblPr>
      <w:tblGrid>
        <w:gridCol w:w="562"/>
        <w:gridCol w:w="3515"/>
        <w:gridCol w:w="34"/>
        <w:gridCol w:w="5807"/>
      </w:tblGrid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-Условия открытия и обслуживания счетов физических лиц в АО «Россельхозбанк» (далее - Условия);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на открытие счета (далее - Договор);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-Условия открытия, обслуживания и закрытия счетов физических лиц в АО «Россельхозбанк» с использованием системы «Интернет-банк» и «Мобильный банк»;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Тарифы комиссионного вознаграждения на услуги АО «Россельхозбанк» физическим лицам (далее - Тарифы).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документы размещены на официальном сайте Банка в сети Интернет по адресу </w:t>
            </w:r>
            <w:hyperlink r:id="rId14" w:tooltip="https://www.rshb.ru/natural/deposits#docs" w:anchor="docs" w:history="1">
              <w:r>
                <w:rPr>
                  <w:rStyle w:val="920"/>
                  <w:rFonts w:ascii="Times New Roman" w:hAnsi="Times New Roman" w:cs="Times New Roman"/>
                  <w:sz w:val="20"/>
                  <w:szCs w:val="20"/>
                </w:rPr>
                <w:t xml:space="preserve">https://www.rshb.ru/natural/deposits#docs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«Документы и Тарифы».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ТАКОЕ НАКОПИТЕЛЬНЫЙ СЧЕТ?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банковский счет физических лиц, открытый Банком Клиенту на основании Договора, предназначенный для совершения расчетных, кассовых и иных операций, установленных действующим законодательством Российской Федерации, не связанных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существлением предпринимательской деятельности, а также деятельности лица, занимающегося в установленном законодательством Российской Федерации порядке частной практикой, с возможностью получения процентов на остаток денежных средств, находящихся на счете.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УСЛОВИЯ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Валюта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Рубли РФ, китайские юани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счета (если применимо)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ессрочно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дистанционного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Возможно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ПРОЦЕНТЫ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СЧЕТУ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гарантированная процентная 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минимальная сумма процентов, которые будут выплачены клиенту за год на минимально возможную сумму для размещения без учета дополнительных условий)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0,01%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возможная процентная 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рублях РФ.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Процентная ставка в рублях РФ указана с учетом применения «Приветственной надбавки»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1% - в китайских юанях.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условия, влияющие на процентную ставку (если применимо)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Приветственная надбавка» предоставляется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физическ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ому лицу, не имеющему действующих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накопительных счетов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АО «Россельхозбанк» в течение 30 дней до обращения в Банк (включая дату обращения) с целью открытия накопительного счета в рамках тарифного плана "Мой счет".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начисления и получения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Начисление процентов осуществляется на фактический остаток денежных средств на Счете на начало операционного дня по процентной ставке, установленной Банком для тарифного плана «Мой счет»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енты выплачиваются ежемесячно в последний рабочий день месяца путем зачисления суммы причитающихся процентов на Счет. При закрытии Счета проценты выплачиваются наличным способом или по реквизитам, предоставляемым Клиентом. Ранее начисленные и выплаченные п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роценты не пересчитываются.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ПО СЧЕТУ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рублях РФ – без ограничений;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китайских юанях: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Пополнение Счета, открытого с 22.03.2023, осуществляется в соответствии с Условиями: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наличном порядке с использованием текущего счета с последующим безналичным перечислением на Счет;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безналичном порядке – без ограничений.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Пополнение Счета, открытого до 22.03.2023, осуществляется в соответствии с условиями договора банковского счета, заключенного с клиентом (без ограничений).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операции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рублях РФ – без ограничений;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китайских юанях: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Выдача со Счета, открытого с 22.03.2023, осуществляется: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наличными денежными средствами в рублях РФ в сумме, эквивалентной размеру денежных средств в китайских юанях по курсу Банка России на день проведения операции;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безналичном порядке – без ограничений.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Выдача со Счета, открытого до 22.03.2023, осуществляется в соответствии с условиями договора банковского счета, заключенного с клиентом (без ограничений).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ПОРЯДОК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КРЫТИЯ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57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отсутствии в течение двух лет денежных средств на счете Клиента и операций по этому счету, Банк вправе отказаться от исполнения Договора, предупредив об этом Клиента в письменной форме (за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казным письмом с уведомлением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вручении, 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утем непосредственного вручения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етствующего письма под роспись Клиенту или иным способом). Договор считается расторгнутым по истечении двух месяцев со дня направления Клиенту такого предупреждения, если на соответствующий счет Клиента в течение этого срока не поступили денежные средства.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может быть расторгнут в любое время по инициативе и по первому требованию Клиента на основании письменного заявления о расторжении Договора в соответствии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заявлением установленного образца, в котором Клиент подтверждает текущий остаток денежных средств на счете и указывает способ, которым ему должен быть возвращен остаток на счете после урегулирования имеющихся задолженностей. При выборе способа возврата 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енежных средств путем осуществления безналичного перечисления, Клиент должен указать реквизиты для перечисления в заявлении о расторжении Договора. Договор считается расторгнутым со дня принятия Банком к исполнению заявления Клиента о расторжении Договора.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ПОТРЕБИТЕЛЯ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совершение операций по счету Банком взимается плата в соответствии с Тарифами.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СТРАХОВАНИЕ ДЕНЕЖН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ЫХ СРЕДСТВ, РАЗМЕЩЕННЫХ НА НАКОПИТЕЛЬНЫХ СЧЕТАХ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СПОСОБЫ НАПРАВЛЕНИЯ ОБРАЩЕНИЯ В БАНК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обращения в Банк возможно одним из следующих способов: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обратиться в подразделение Банка (головной офис/филиал);                                                                                                                              - позвонить по телефонам справочной службы Банка: 8-800-100-01-00 (дл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звонков по России), 7787 (Абонентам МТС, Мегафон, Билайн и Tele2), +7 (495) 787-77-87 (для звонков из-за границы);                                                                                                                                        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обращение на официальном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 в сети Интернет по адресу: www.rshb.ru.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lfaen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24404272"/>
      <w:docPartObj>
        <w:docPartGallery w:val="Page Numbers (Top of Page)"/>
        <w:docPartUnique w:val="true"/>
      </w:docPartObj>
      <w:rPr/>
    </w:sdtPr>
    <w:sdtContent>
      <w:p>
        <w:pPr>
          <w:pStyle w:val="92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>
      <w:tblPrEx/>
      <w:trPr>
        <w:trHeight w:val="720"/>
      </w:trPr>
      <w:tc>
        <w:tcPr>
          <w:tcW w:w="1667" w:type="pct"/>
          <w:textDirection w:val="lrTb"/>
          <w:noWrap w:val="false"/>
        </w:tcPr>
        <w:p>
          <w:pPr>
            <w:pStyle w:val="926"/>
            <w:tabs>
              <w:tab w:val="clear" w:pos="4677" w:leader="none"/>
              <w:tab w:val="clear" w:pos="9355" w:leader="none"/>
            </w:tabs>
            <w:rPr>
              <w:color w:val="5b9bd5" w:themeColor="accent1"/>
            </w:rPr>
          </w:pPr>
          <w:r>
            <w:rPr>
              <w:color w:val="5b9bd5" w:themeColor="accent1"/>
            </w:rPr>
          </w:r>
          <w:r>
            <w:rPr>
              <w:color w:val="5b9bd5" w:themeColor="accent1"/>
            </w:rPr>
          </w:r>
          <w:r>
            <w:rPr>
              <w:color w:val="5b9bd5" w:themeColor="accent1"/>
            </w:rPr>
          </w:r>
        </w:p>
      </w:tc>
      <w:tc>
        <w:tcPr>
          <w:tcW w:w="1667" w:type="pct"/>
          <w:textDirection w:val="lrTb"/>
          <w:noWrap w:val="false"/>
        </w:tcPr>
        <w:p>
          <w:pPr>
            <w:pStyle w:val="926"/>
            <w:jc w:val="center"/>
            <w:tabs>
              <w:tab w:val="clear" w:pos="4677" w:leader="none"/>
              <w:tab w:val="clear" w:pos="9355" w:leader="none"/>
            </w:tabs>
            <w:rPr>
              <w:color w:val="5b9bd5" w:themeColor="accent1"/>
            </w:rPr>
          </w:pPr>
          <w:r>
            <w:rPr>
              <w:color w:val="5b9bd5" w:themeColor="accent1"/>
            </w:rPr>
          </w:r>
          <w:r>
            <w:rPr>
              <w:color w:val="5b9bd5" w:themeColor="accent1"/>
            </w:rPr>
          </w:r>
          <w:r>
            <w:rPr>
              <w:color w:val="5b9bd5" w:themeColor="accent1"/>
            </w:rPr>
          </w:r>
        </w:p>
      </w:tc>
      <w:tc>
        <w:tcPr>
          <w:tcW w:w="1666" w:type="pct"/>
          <w:textDirection w:val="lrTb"/>
          <w:noWrap w:val="false"/>
        </w:tcPr>
        <w:p>
          <w:pPr>
            <w:pStyle w:val="926"/>
            <w:jc w:val="right"/>
            <w:tabs>
              <w:tab w:val="clear" w:pos="4677" w:leader="none"/>
              <w:tab w:val="clear" w:pos="9355" w:leader="none"/>
            </w:tabs>
            <w:rPr>
              <w:i/>
            </w:rPr>
          </w:pPr>
          <w:r>
            <w:rPr>
              <w:i/>
              <w:sz w:val="24"/>
              <w:szCs w:val="24"/>
            </w:rPr>
            <w:t xml:space="preserve">Действует с </w:t>
          </w:r>
          <w:r>
            <w:rPr>
              <w:i/>
              <w:sz w:val="24"/>
              <w:szCs w:val="24"/>
            </w:rPr>
            <w:t xml:space="preserve">01.01</w:t>
          </w:r>
          <w:r>
            <w:rPr>
              <w:i/>
              <w:sz w:val="24"/>
              <w:szCs w:val="24"/>
            </w:rPr>
            <w:t xml:space="preserve">.2025</w:t>
          </w:r>
          <w:r>
            <w:rPr>
              <w:i/>
            </w:rPr>
          </w:r>
          <w:r>
            <w:rPr>
              <w:i/>
            </w:rPr>
          </w:r>
        </w:p>
      </w:tc>
    </w:tr>
  </w:tbl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ambria" w:hAnsi="Cambria" w:cs="Cambria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Courier New" w:hAnsi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lfaen" w:hAnsi="Sylfaen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ambria" w:hAnsi="Cambria" w:cs="Cambria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Courier New" w:hAnsi="Courier New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lfaen" w:hAnsi="Sylfaen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ambria" w:hAnsi="Cambria" w:cs="Cambria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Courier New" w:hAnsi="Courier New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5.%2."/>
      <w:lvlJc w:val="left"/>
      <w:pPr>
        <w:ind w:left="1440" w:hanging="360"/>
        <w:tabs>
          <w:tab w:val="num" w:pos="0" w:leader="none"/>
        </w:tabs>
      </w:pPr>
      <w:rPr>
        <w:rFonts w:hint="default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5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4"/>
    <w:next w:val="914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5"/>
    <w:link w:val="743"/>
    <w:uiPriority w:val="9"/>
    <w:rPr>
      <w:rFonts w:ascii="Arial" w:hAnsi="Arial" w:eastAsia="Arial" w:cs="Arial"/>
      <w:sz w:val="40"/>
      <w:szCs w:val="40"/>
    </w:rPr>
  </w:style>
  <w:style w:type="paragraph" w:styleId="745">
    <w:name w:val="Heading 2"/>
    <w:basedOn w:val="914"/>
    <w:next w:val="914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6">
    <w:name w:val="Heading 2 Char"/>
    <w:basedOn w:val="915"/>
    <w:link w:val="745"/>
    <w:uiPriority w:val="9"/>
    <w:rPr>
      <w:rFonts w:ascii="Arial" w:hAnsi="Arial" w:eastAsia="Arial" w:cs="Arial"/>
      <w:sz w:val="34"/>
    </w:rPr>
  </w:style>
  <w:style w:type="paragraph" w:styleId="747">
    <w:name w:val="Heading 3"/>
    <w:basedOn w:val="914"/>
    <w:next w:val="914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15"/>
    <w:link w:val="747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4"/>
    <w:next w:val="914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1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4"/>
    <w:next w:val="914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5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4"/>
    <w:next w:val="914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5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4"/>
    <w:next w:val="914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5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4"/>
    <w:next w:val="914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5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4"/>
    <w:next w:val="914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5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14"/>
    <w:next w:val="914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basedOn w:val="915"/>
    <w:link w:val="762"/>
    <w:uiPriority w:val="10"/>
    <w:rPr>
      <w:sz w:val="48"/>
      <w:szCs w:val="48"/>
    </w:rPr>
  </w:style>
  <w:style w:type="paragraph" w:styleId="764">
    <w:name w:val="Subtitle"/>
    <w:basedOn w:val="914"/>
    <w:next w:val="914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basedOn w:val="915"/>
    <w:link w:val="764"/>
    <w:uiPriority w:val="11"/>
    <w:rPr>
      <w:sz w:val="24"/>
      <w:szCs w:val="24"/>
    </w:rPr>
  </w:style>
  <w:style w:type="paragraph" w:styleId="766">
    <w:name w:val="Quote"/>
    <w:basedOn w:val="914"/>
    <w:next w:val="914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14"/>
    <w:next w:val="914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character" w:styleId="770">
    <w:name w:val="Header Char"/>
    <w:basedOn w:val="915"/>
    <w:link w:val="926"/>
    <w:uiPriority w:val="99"/>
  </w:style>
  <w:style w:type="character" w:styleId="771">
    <w:name w:val="Footer Char"/>
    <w:basedOn w:val="915"/>
    <w:link w:val="928"/>
    <w:uiPriority w:val="99"/>
  </w:style>
  <w:style w:type="paragraph" w:styleId="772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928"/>
    <w:uiPriority w:val="99"/>
  </w:style>
  <w:style w:type="table" w:styleId="774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3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4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5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6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7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8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7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1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Footnote Text Char"/>
    <w:link w:val="936"/>
    <w:uiPriority w:val="99"/>
    <w:rPr>
      <w:sz w:val="18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5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qFormat/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table" w:styleId="918">
    <w:name w:val="Table Grid"/>
    <w:basedOn w:val="9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List Paragraph"/>
    <w:basedOn w:val="914"/>
    <w:link w:val="923"/>
    <w:uiPriority w:val="34"/>
    <w:qFormat/>
    <w:pPr>
      <w:contextualSpacing/>
      <w:ind w:left="720"/>
    </w:pPr>
  </w:style>
  <w:style w:type="character" w:styleId="920">
    <w:name w:val="Hyperlink"/>
    <w:basedOn w:val="915"/>
    <w:uiPriority w:val="99"/>
    <w:unhideWhenUsed/>
    <w:rPr>
      <w:color w:val="0563c1" w:themeColor="hyperlink"/>
      <w:u w:val="single"/>
    </w:rPr>
  </w:style>
  <w:style w:type="paragraph" w:styleId="921">
    <w:name w:val="Balloon Text"/>
    <w:basedOn w:val="914"/>
    <w:link w:val="9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915"/>
    <w:link w:val="921"/>
    <w:uiPriority w:val="99"/>
    <w:semiHidden/>
    <w:rPr>
      <w:rFonts w:ascii="Segoe UI" w:hAnsi="Segoe UI" w:cs="Segoe UI"/>
      <w:sz w:val="18"/>
      <w:szCs w:val="18"/>
    </w:rPr>
  </w:style>
  <w:style w:type="character" w:styleId="923" w:customStyle="1">
    <w:name w:val="Абзац списка Знак"/>
    <w:link w:val="919"/>
    <w:uiPriority w:val="34"/>
  </w:style>
  <w:style w:type="paragraph" w:styleId="924">
    <w:name w:val="Body Text"/>
    <w:basedOn w:val="914"/>
    <w:link w:val="925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5" w:customStyle="1">
    <w:name w:val="Основной текст Знак"/>
    <w:basedOn w:val="915"/>
    <w:link w:val="92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>
    <w:name w:val="Header"/>
    <w:basedOn w:val="914"/>
    <w:link w:val="9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7" w:customStyle="1">
    <w:name w:val="Верхний колонтитул Знак"/>
    <w:basedOn w:val="915"/>
    <w:link w:val="926"/>
    <w:uiPriority w:val="99"/>
  </w:style>
  <w:style w:type="paragraph" w:styleId="928">
    <w:name w:val="Footer"/>
    <w:basedOn w:val="914"/>
    <w:link w:val="9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basedOn w:val="915"/>
    <w:link w:val="928"/>
    <w:uiPriority w:val="99"/>
  </w:style>
  <w:style w:type="character" w:styleId="930">
    <w:name w:val="annotation reference"/>
    <w:basedOn w:val="915"/>
    <w:uiPriority w:val="99"/>
    <w:semiHidden/>
    <w:unhideWhenUsed/>
    <w:rPr>
      <w:sz w:val="16"/>
      <w:szCs w:val="16"/>
    </w:rPr>
  </w:style>
  <w:style w:type="paragraph" w:styleId="931">
    <w:name w:val="annotation text"/>
    <w:basedOn w:val="914"/>
    <w:link w:val="93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32" w:customStyle="1">
    <w:name w:val="Текст примечания Знак"/>
    <w:basedOn w:val="915"/>
    <w:link w:val="931"/>
    <w:uiPriority w:val="99"/>
    <w:semiHidden/>
    <w:rPr>
      <w:sz w:val="20"/>
      <w:szCs w:val="20"/>
    </w:rPr>
  </w:style>
  <w:style w:type="paragraph" w:styleId="933">
    <w:name w:val="annotation subject"/>
    <w:basedOn w:val="931"/>
    <w:next w:val="931"/>
    <w:link w:val="934"/>
    <w:uiPriority w:val="99"/>
    <w:semiHidden/>
    <w:unhideWhenUsed/>
    <w:rPr>
      <w:b/>
      <w:bCs/>
    </w:rPr>
  </w:style>
  <w:style w:type="character" w:styleId="934" w:customStyle="1">
    <w:name w:val="Тема примечания Знак"/>
    <w:basedOn w:val="932"/>
    <w:link w:val="933"/>
    <w:uiPriority w:val="99"/>
    <w:semiHidden/>
    <w:rPr>
      <w:b/>
      <w:bCs/>
      <w:sz w:val="20"/>
      <w:szCs w:val="20"/>
    </w:rPr>
  </w:style>
  <w:style w:type="paragraph" w:styleId="935">
    <w:name w:val="Revision"/>
    <w:hidden/>
    <w:uiPriority w:val="99"/>
    <w:semiHidden/>
    <w:pPr>
      <w:spacing w:after="0" w:line="240" w:lineRule="auto"/>
    </w:pPr>
  </w:style>
  <w:style w:type="paragraph" w:styleId="936">
    <w:name w:val="footnote text"/>
    <w:basedOn w:val="914"/>
    <w:link w:val="937"/>
    <w:qFormat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character" w:styleId="937" w:customStyle="1">
    <w:name w:val="Текст сноски Знак"/>
    <w:basedOn w:val="915"/>
    <w:link w:val="936"/>
    <w:rPr>
      <w:rFonts w:ascii="Calibri" w:hAnsi="Calibri" w:eastAsia="Calibri" w:cs="Times New Roman"/>
      <w:sz w:val="20"/>
      <w:szCs w:val="20"/>
      <w:lang w:eastAsia="ru-RU"/>
    </w:rPr>
  </w:style>
  <w:style w:type="character" w:styleId="938">
    <w:name w:val="footnote reference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oleObject" Target="embeddings/oleObject1.bin"/><Relationship Id="rId14" Type="http://schemas.openxmlformats.org/officeDocument/2006/relationships/hyperlink" Target="https://www.rshb.ru/natural/deposi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CF72-43FC-45B0-B5A0-21F29758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Харабрина Юлия Юрьевна</dc:creator>
  <cp:keywords/>
  <dc:description/>
  <cp:revision>11</cp:revision>
  <dcterms:created xsi:type="dcterms:W3CDTF">2024-06-11T09:53:00Z</dcterms:created>
  <dcterms:modified xsi:type="dcterms:W3CDTF">2024-12-28T14:26:49Z</dcterms:modified>
</cp:coreProperties>
</file>