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ЭМИТЕНТА ЭМИССИОННЫХ ЦЕННЫХ БУМАГ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118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</w:r>
      <w:r>
        <w:rPr>
          <w:iCs/>
          <w:sz w:val="24"/>
          <w:szCs w:val="24"/>
          <w:u w:val="single"/>
        </w:rPr>
      </w:r>
      <w:r>
        <w:rPr>
          <w:iCs/>
          <w:sz w:val="24"/>
          <w:szCs w:val="24"/>
          <w:u w:val="single"/>
        </w:rPr>
      </w:r>
    </w:p>
    <w:p>
      <w:pPr>
        <w:pStyle w:val="1118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</w:r>
      <w:r>
        <w:rPr>
          <w:iCs/>
          <w:sz w:val="24"/>
          <w:szCs w:val="24"/>
          <w:u w:val="single"/>
        </w:rPr>
      </w:r>
      <w:r>
        <w:rPr>
          <w:iCs/>
          <w:sz w:val="24"/>
          <w:szCs w:val="24"/>
          <w:u w:val="single"/>
        </w:rPr>
      </w:r>
    </w:p>
    <w:p>
      <w:pPr>
        <w:pStyle w:val="1118"/>
        <w:jc w:val="center"/>
        <w:rPr>
          <w:sz w:val="24"/>
          <w:szCs w:val="24"/>
        </w:rPr>
      </w:pPr>
      <w:r>
        <w:rPr>
          <w:iCs/>
          <w:sz w:val="24"/>
          <w:szCs w:val="24"/>
          <w:u w:val="single"/>
        </w:rPr>
        <w:t xml:space="preserve">Акционерное общество "Российский Сельскохозяйственный банк"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эмитента: 03349-В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 месяцев 202</w:t>
      </w:r>
      <w:r>
        <w:rPr>
          <w:rFonts w:ascii="Times New Roman" w:hAnsi="Times New Roman" w:cs="Times New Roman"/>
          <w:sz w:val="24"/>
          <w:szCs w:val="24"/>
        </w:rPr>
        <w:t xml:space="preserve">4 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содержащаяся в настоящем отчете эмитента, подлежит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 ценных бумагах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>
        <w:trPr/>
        <w:tblPrEx/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119034, г. Москва, Гагаринский пер., д. 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49"/>
        </w:trPr>
        <w:tblPrEx/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директор управления эмиссии акций и облигаций Департамента по работе на рынках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Юлия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(495) 662-15-99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rshb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>
        <w:trPr/>
        <w:tblPrEx/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страницы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://www.e-disclosure.ru/portal/company.aspx?id=3207" w:history="1">
              <w:r>
                <w:rPr>
                  <w:rStyle w:val="1133"/>
                  <w:rFonts w:ascii="Times New Roman" w:hAnsi="Times New Roman"/>
                  <w:sz w:val="24"/>
                  <w:szCs w:val="24"/>
                </w:rPr>
                <w:t xml:space="preserve">http://www.e-disclosure.ru/portal/company.aspx?id=3207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33"/>
                <w:rFonts w:ascii="Times New Roman" w:hAnsi="Times New Roman"/>
                <w:sz w:val="24"/>
                <w:szCs w:val="24"/>
              </w:rPr>
              <w:t xml:space="preserve">http://www.rshb.ru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6"/>
        <w:gridCol w:w="1587"/>
        <w:gridCol w:w="2098"/>
      </w:tblGrid>
      <w:tr>
        <w:trPr/>
        <w:tblPrEx/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основании доверенности от 12.08.2020 № 337)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blPrEx/>
        <w:tc>
          <w:tcPr>
            <w:tcW w:w="5386" w:type="dxa"/>
            <w:tcBorders>
              <w:left w:val="single" w:color="auto" w:sz="4" w:space="0"/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апреля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cBorders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ОГЛАВЛЕНИЕ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8648"/>
        <w:gridCol w:w="992"/>
      </w:tblGrid>
      <w:tr>
        <w:trPr>
          <w:trHeight w:val="300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9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Управленческий отчет эмитента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6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1.1. Общие сведения об эмитенте и его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Сведения о положении эмитента в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Основные операционные показатели, характеризующие деятельность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55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Основные финансовые показатели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0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 Основные финансовые показатели эмитента, рассчитываемые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консолидированной финансовой отчетности (финансовой отчетности), за исключением эмитентов, являющихся кредитной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4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 Основные финансовые показатели эмитента, рассчитываемые на основе бухгалтерской (финансовой) отчетности (для эмитентов, не составляющих и не раскрывающих консолидированную финансовую отчетность (финансовую отчетность)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8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1.4.3 Основные финансовые показатели эмитентов, являющихся кредитными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8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1.4.4 Иные финансовые показатели, в том числе характеризующие финансовые результаты деятельности эмитента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деятельности эмитента (группы эмитента)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1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1.4.5. Анализ динамики изменения финансовых показателей, приведенных в подпункте 1.4.3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Сведения об основных поставщиках эмитента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Сведения об основных дебиторах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эмитента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Сведения об обязательствах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1.7.1. Сведения об основных кредиторах эмитента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1.7.2. Сведения об обязательствах эмитента из предоставленного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9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1.7.3. Сведения о прочих существенных обязательствах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Сведения о перспективах развития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Сведения о рисках, связанных с деятельностью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 Банковские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7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1.9.1.1. Кредитный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1.9.1.2. Рыночный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Процентный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Риск ликвидности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7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Операционный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7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7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Комплаенс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-риск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регуляторный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7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1.9.1.8. Стратегический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5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1.9.1.9. Риск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секьюретизации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8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1.9.4. Риск потери деловой репутации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репутационый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2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Природно-климатический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1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риски, которые являются существенными для эмитента (группы эмитента)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II.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2.1. Информация о лицах, входящих в состав органов управления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9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2.2. Сведения о политике в области вознаграждения и (или) компенсации расходов, а также о размере вознаграждения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(или) компенсации расходов по каждому органу управления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51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0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8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97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3.1. Сведения об общем количестве акционеров (участников, членов)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67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("золотой акции")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3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3.4. Сделки эмитента, в совершении которых имелась заинтересованность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3.5. Крупные сделки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65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Дополнительные сведения об эмитенте и о размещенных им ценных бумагах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5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Подконтрольные эмитенту организации, имеющие для него существенное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807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Дополнительные сведения, раскрываемые эмитентами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зеленых облигаций, социальных облигаций, облигаций устойчивого развития, адаптационных облигаций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109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4.2.1.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157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107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127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4.2(1). Дополнительные сведения, раскрываемые эмитентами инфраструктурных облигаций.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97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4.2(1).1. Информация о целевом использовании денежных средств, полученных от размещения инфраструктурных облигаций.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167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4.2(1).2. Информация о реализации инфраструктурного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117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4.2(2). Дополнительные сведения, раскрываемые эмитентами облигаций, связанных с целями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123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4.2(2).1. Описание стратегии устойчивого развития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143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4.2(2).2. Информация о текущем (фактическом) значении ключевого показателя (показателей) деятельности эмитента, связанного с достижением целей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7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4.2(3). Дополнительные сведения, раскрываемые эмитентами облигаций климатического перехода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9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4.2(3).1. Описание стратегии климатического перехода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9"/>
        </w:trPr>
        <w:tblPrEx/>
        <w:tc>
          <w:tcPr>
            <w:tcW w:w="8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4.2(3).2. Информация о реализации стратегии климатического перехода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9"/>
        </w:trPr>
        <w:tblPrEx/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4.3.1. Дополнительные сведения об ипотечном покрытии по облигациям эмитента с ипотечным 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Сведения об объявленных и выплаченных дивидендах по акциям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Сведения об организациях, осуществляющих учет прав на эмиссионные ценные бумаги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4.5.1 Сведения о регистраторе, осуществляющем ведение реестра владельцев ценных бумаг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95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4.5.2. Сведения о депозитарии, осуществляющем централизованный учет прав на ценные бумаги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4.6. Информация об аудиторе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89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Раздел 5. Консолидированная финансовая отчетность (финансовая отчетность), бухгалтерская (финансовая) отчетность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367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5.1. Консолидированная финансовая отчетность (финансовая отчетность)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92"/>
        </w:trPr>
        <w:tblPrEx/>
        <w:tc>
          <w:tcPr>
            <w:tcW w:w="864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5.2. Бухгалтерская (финансовая) отчетность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ageBreakBefore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Введение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135"/>
        <w:ind w:firstLine="709"/>
        <w:rPr>
          <w:sz w:val="24"/>
          <w:szCs w:val="24"/>
        </w:rPr>
      </w:pPr>
      <w:bookmarkStart w:id="0" w:name="_Toc322702117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3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Основания возникновения обязанности осуществлять раскрытие информации в форме Отчета</w:t>
      </w:r>
      <w:bookmarkEnd w:id="0"/>
      <w:r>
        <w:rPr>
          <w:sz w:val="24"/>
          <w:szCs w:val="24"/>
        </w:rPr>
        <w:t xml:space="preserve"> эмитента.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Акционерное общество «Российский Сельскохозяйственный банк» (далее по тексту – АО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», «Банк», «Кредитная организация – эмитент», «Эмитент», РСХБ) раскрывает информацию в форме отчета эмитента (далее по тексту – «О</w:t>
      </w:r>
      <w:r>
        <w:rPr>
          <w:rFonts w:ascii="Times New Roman" w:hAnsi="Times New Roman" w:cs="Times New Roman"/>
          <w:sz w:val="24"/>
          <w:szCs w:val="24"/>
        </w:rPr>
        <w:t xml:space="preserve">тчет», «Отчет эм</w:t>
      </w:r>
      <w:r>
        <w:rPr>
          <w:rFonts w:ascii="Times New Roman" w:hAnsi="Times New Roman" w:cs="Times New Roman"/>
          <w:sz w:val="24"/>
          <w:szCs w:val="24"/>
        </w:rPr>
        <w:t xml:space="preserve">итента») в соответствии с пунктом 4 статьи 30 Федерального закона от 22.04.1996                 № 39-ФЗ «О рынке ценных бумаг» и п. 11.1 главы 11 Положения Банка России от 27.03.2020 № 714-П «О раскрытии информации эмитентами эмиссионных ценных бумаг» (дал</w:t>
      </w:r>
      <w:r>
        <w:rPr>
          <w:rFonts w:ascii="Times New Roman" w:hAnsi="Times New Roman" w:cs="Times New Roman"/>
          <w:sz w:val="24"/>
          <w:szCs w:val="24"/>
        </w:rPr>
        <w:t xml:space="preserve">ее – Положение о раскрытии информации),  в связи с регистрацией Банком в отношении своих ценных бумаг проспектов ценных бумаг, а также в связи с допуском биржевых облигаций Банка к организованным торгам на бирже (с предоставлением бирже проспекта биржевых </w:t>
      </w:r>
      <w:r>
        <w:rPr>
          <w:rFonts w:ascii="Times New Roman" w:hAnsi="Times New Roman" w:cs="Times New Roman"/>
          <w:sz w:val="24"/>
          <w:szCs w:val="24"/>
        </w:rPr>
        <w:t xml:space="preserve">облигаций).</w: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№ 1* настоящего Отчета приведен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консолидированная финансовая </w:t>
      </w:r>
      <w:r>
        <w:rPr>
          <w:rFonts w:ascii="Times New Roman" w:hAnsi="Times New Roman" w:cs="Times New Roman"/>
          <w:sz w:val="24"/>
          <w:szCs w:val="24"/>
        </w:rPr>
        <w:t xml:space="preserve">отчетность в отношении Акционерного общества «Российский Сельскохозяйственный банк» и его дочерних организаций (совместно именуемых — «Группа», «Группа эмитента») за год, закончившийся 31 декабря 202</w:t>
      </w:r>
      <w:r>
        <w:rPr>
          <w:rFonts w:ascii="Times New Roman" w:hAnsi="Times New Roman" w:cs="Times New Roman"/>
          <w:sz w:val="24"/>
          <w:szCs w:val="24"/>
        </w:rPr>
        <w:t xml:space="preserve">4 года, подготовленная в соответствии с Международными стандартами финансо</w:t>
      </w:r>
      <w:r>
        <w:rPr>
          <w:rFonts w:ascii="Times New Roman" w:hAnsi="Times New Roman" w:cs="Times New Roman"/>
          <w:sz w:val="24"/>
          <w:szCs w:val="24"/>
        </w:rPr>
        <w:t xml:space="preserve">вой отчетности, принятыми Советом по Международным стандартам финансовой отчетности («СМСФО»),  с аудиторским заключением независимого аудитора, на основании которой в Отчете эмитента раскрывается информация о финансово-хозяйственной деятельности Эмитента.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финанс</w:t>
      </w:r>
      <w:r>
        <w:rPr>
          <w:rFonts w:ascii="Times New Roman" w:hAnsi="Times New Roman" w:cs="Times New Roman"/>
          <w:sz w:val="24"/>
          <w:szCs w:val="24"/>
        </w:rPr>
        <w:t xml:space="preserve">ово-хозяйственной деятельности Э</w:t>
      </w:r>
      <w:r>
        <w:rPr>
          <w:rFonts w:ascii="Times New Roman" w:hAnsi="Times New Roman" w:cs="Times New Roman"/>
          <w:sz w:val="24"/>
          <w:szCs w:val="24"/>
        </w:rPr>
        <w:t xml:space="preserve">митента отражает его деятельность в качестве организации, которая вместе с другими организациями в соответствии с МСФО определяется как группа.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Консолидированная финансовая отчетность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которой в настоящем Отчете эмитента раскрыта информация о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митента, дает объективное и достоверное представление об активах, обязательствах, финансовом состоянии, прибыли или убытке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митента. Информация о финансовом состоянии и результатах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митента содержит достоверное представление о деятельности эмитента, а также об основных рисках, связанных с его деятельностью.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Отчет эмитента содержит оценки и прогнозы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его планов, вероятности наступления определенных событий и совершения определенных действий.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Инвесторы не должны полностью полагаться на оценки и прогнозы, приведенные в настоя</w:t>
      </w:r>
      <w:r>
        <w:rPr>
          <w:rFonts w:ascii="Times New Roman" w:hAnsi="Times New Roman" w:cs="Times New Roman"/>
          <w:sz w:val="24"/>
          <w:szCs w:val="24"/>
        </w:rPr>
        <w:t xml:space="preserve">щем Отчете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 соответствии с абзацем 12 пункта 1 Постановления Правительства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директоров Банка России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24.12.2024 «О требованиях к раскрытию кредитными организациями (головными кредитными организациями банковских групп) отчетности и информации в 2025 году»</w:t>
      </w:r>
      <w:r>
        <w:rPr>
          <w:rFonts w:ascii="Times New Roman" w:hAnsi="Times New Roman" w:cs="Times New Roman"/>
          <w:sz w:val="24"/>
          <w:szCs w:val="24"/>
        </w:rPr>
        <w:t xml:space="preserve"> Приложение 1 к Отчету эмитента не раскрывается.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Управленческий отчет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20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1.1. Общие сведения об эмитенте и его деятельности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раткая информация об эмитенте: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Полное и сокращенное фирменные наименования эмитента: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4819"/>
      </w:tblGrid>
      <w:tr>
        <w:trPr>
          <w:jc w:val="center"/>
          <w:trHeight w:val="403"/>
        </w:trPr>
        <w:tblPrEx/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«Российский Сельскохозяйственный банк»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91"/>
        </w:trPr>
        <w:tblPrEx/>
        <w:tc>
          <w:tcPr>
            <w:tcW w:w="9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введено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  <w:trHeight w:val="315"/>
        </w:trPr>
        <w:tblPrEx/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20"/>
        </w:trPr>
        <w:tblPrEx/>
        <w:tc>
          <w:tcPr>
            <w:tcW w:w="9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введено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Банка: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фирменное наименование Банка на русском языке – Акционерное общество «Российский Сельскохозяйственный банк»;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фирменное наименование Банка на английском языке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Russian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Bank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сокращенное фирменное наименование Банка на русском языке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сокращенное фирменное наименование Банка на английском языке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Rosselkhozbank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нахождения и адрес эмитента: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5012"/>
        <w:gridCol w:w="4168"/>
      </w:tblGrid>
      <w:tr>
        <w:trPr>
          <w:jc w:val="center"/>
          <w:trHeight w:val="585"/>
        </w:trPr>
        <w:tblPrEx/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6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46"/>
        </w:trPr>
        <w:tblPrEx/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6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119034, г. Москва, Гагаринский пер., д. 3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способе и дате создания эмитента: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создан</w:t>
      </w:r>
      <w:r>
        <w:rPr>
          <w:rFonts w:ascii="Times New Roman" w:hAnsi="Times New Roman" w:cs="Times New Roman"/>
          <w:sz w:val="24"/>
          <w:szCs w:val="24"/>
        </w:rPr>
        <w:t xml:space="preserve"> в 2000 году в соответствии с распоряжением Президента Российской Федерации от 15 марта 2000 г. № 75-рп. </w:t>
      </w:r>
      <w:r>
        <w:rPr>
          <w:rFonts w:ascii="Times New Roman" w:hAnsi="Times New Roman" w:cs="Times New Roman"/>
          <w:sz w:val="24"/>
          <w:szCs w:val="24"/>
        </w:rPr>
        <w:t xml:space="preserve">Банк</w:t>
      </w:r>
      <w:r>
        <w:rPr>
          <w:rFonts w:ascii="Times New Roman" w:hAnsi="Times New Roman" w:cs="Times New Roman"/>
          <w:sz w:val="24"/>
          <w:szCs w:val="24"/>
        </w:rPr>
        <w:t xml:space="preserve"> является ключевым звеном национальной кредитно-финансовой системы обслуживания товаропроизводителей в сфере агропромышленного комплекса.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 Банка - Агентство по реструктуризации кредитных организаций –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ГК АРКО (Решение о создании </w:t>
      </w:r>
      <w:r>
        <w:rPr>
          <w:rFonts w:ascii="Times New Roman" w:hAnsi="Times New Roman" w:cs="Times New Roman"/>
          <w:sz w:val="24"/>
          <w:szCs w:val="24"/>
        </w:rPr>
        <w:t xml:space="preserve">Банка</w:t>
      </w:r>
      <w:r>
        <w:rPr>
          <w:rFonts w:ascii="Times New Roman" w:hAnsi="Times New Roman" w:cs="Times New Roman"/>
          <w:sz w:val="24"/>
          <w:szCs w:val="24"/>
        </w:rPr>
        <w:t xml:space="preserve"> принято Советом директоров Агентства 21.01.2000 г.). В ходе второй дополнительной эмиссии акций Банка 1 марта 2001 г. в состав акционеров вошла Российская Федерация в лице Российского фонда федерального имущества.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114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июля 2001 г. состоялась передача акций </w:t>
      </w:r>
      <w:r>
        <w:rPr>
          <w:rFonts w:ascii="Times New Roman" w:hAnsi="Times New Roman" w:cs="Times New Roman"/>
          <w:sz w:val="24"/>
          <w:szCs w:val="24"/>
        </w:rPr>
        <w:t xml:space="preserve">Банка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принадлежащих ГК АРКО, Российскому фонду федерального имущества согласно распоряжению Правительства Российской Федерации от 21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2001 г. № 394-р.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03 декабря 2004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г. № 738 «Об управлении находящимися в федеральной собственности акциями открытых акционерных обществ и 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и специального права на участие Российской Федерации в управлении открытыми акционерными обществами («золотой акции»)» с 10 марта 2005 г. права акционера от имени Российской Федерации осуществляет Федеральное агентство по управлению федеральным имуществом.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12 мая 2008 г. № 724 Федеральное агентство по управлению федеральным имуществом преобразовано в Федеральное агентство по управлению государственным имуществом, действующее на основании постановления Правительства Российской Федерации от 5 июня 2008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432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Федеральном агентстве по управлению государственным имуществом».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Случаи изменения наименования и (или) реорг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анизации эмитента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202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–202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 года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 –202</w:t>
      </w:r>
      <w:r>
        <w:rPr>
          <w:rFonts w:ascii="Times New Roman" w:hAnsi="Times New Roman" w:cs="Times New Roman"/>
          <w:sz w:val="24"/>
          <w:szCs w:val="24"/>
        </w:rPr>
        <w:t xml:space="preserve">4 год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Эмитент не изменял наименование. Реорганизация не проводилась.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Основной государственный регистрационный номер (ОГРН) и идентификационный номер налогоплательщика (ИНН) эмитента: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547"/>
      </w:tblGrid>
      <w:tr>
        <w:trPr>
          <w:jc w:val="center"/>
        </w:trPr>
        <w:tblPrEx/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7725114488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blPrEx/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1027700342890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Финансово-хозяйственная деятельность, операционные сегменты и география осуществления финансово-хозяйственной деятельности группы эмитента.  Краткая характеристика группы эмитента с указанием общего числа организаций, составляющих группу эмитента: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</w:t>
      </w:r>
      <w:r>
        <w:rPr>
          <w:rFonts w:ascii="Times New Roman" w:hAnsi="Times New Roman" w:cs="Times New Roman"/>
          <w:sz w:val="24"/>
          <w:szCs w:val="24"/>
        </w:rPr>
        <w:t xml:space="preserve">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пункту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Постановлению Правительства Российской Федерации от 04.07.2023 № 1102, информация в данном пункте приводится не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видом деятельности Банка являются коммерческие и розничные банковские операции на территории Российской Федерации, главным образом, кредитование агропромышленных предприятий. Основные задачи деятельности Банка заключаются в следующем: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numPr>
          <w:numId w:val="42"/>
          <w:ilvl w:val="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участие в реализации кредитно-денежной политики Российской Федерации в сфере агропромышленного производства;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137"/>
        <w:numPr>
          <w:numId w:val="42"/>
          <w:ilvl w:val="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в сфере агропромышленного производства национальной кредитно-финансовой системы обслуживания отечественных сельскохозяйственных товаропроизводителей; а также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137"/>
        <w:numPr>
          <w:numId w:val="42"/>
          <w:ilvl w:val="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участие в обеспечении эффективного и бесперебойного функционирования системы расчетов в агропромышленном комплексе на всей территории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имеет 64 филиал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Федерации. Банк зарегистрирован по следующему адресу: 119034, Россия, г. Москва, Гагаринский пер., 3. Основным местом ведения деятельности Банка является: 123112, Россия, г. Москва, Пресненская наб., 10, стр. 2.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Дочерние организации Банка широко представлены на рынке, продукты компаний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реализуются, в том числе, через офисы Банка.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yellow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yellow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yellow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Личный закон участников Группы эмитента: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Все участники Группы эмитента в своей деятельности руководствуются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28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128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Ограничения на долю участия иностранных лиц в уставном капитале </w:t>
      </w:r>
      <w:r>
        <w:rPr>
          <w:b/>
          <w:i/>
          <w:sz w:val="24"/>
          <w:szCs w:val="24"/>
        </w:rPr>
        <w:t xml:space="preserve">Э</w:t>
      </w:r>
      <w:r>
        <w:rPr>
          <w:b/>
          <w:i/>
          <w:sz w:val="24"/>
          <w:szCs w:val="24"/>
        </w:rPr>
        <w:t xml:space="preserve">митента, установленные законодательством Российской Федерации или иными нормативными правовыми актами Российской Федерации: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128"/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Федеральным законом </w:t>
      </w:r>
      <w:r>
        <w:rPr>
          <w:sz w:val="24"/>
          <w:szCs w:val="24"/>
        </w:rPr>
        <w:t xml:space="preserve">от 02.12.1990 № 395-1 «О банках и банковской деятельности» </w:t>
      </w:r>
      <w:r>
        <w:rPr>
          <w:sz w:val="24"/>
          <w:szCs w:val="24"/>
        </w:rPr>
        <w:t xml:space="preserve">установлено, что </w:t>
      </w:r>
      <w:r>
        <w:rPr>
          <w:sz w:val="24"/>
          <w:szCs w:val="24"/>
        </w:rPr>
        <w:t xml:space="preserve">Банком России по состоянию на 1 января каждого года рассчитывается </w:t>
      </w:r>
      <w:r>
        <w:rPr>
          <w:sz w:val="24"/>
          <w:szCs w:val="24"/>
        </w:rPr>
        <w:t xml:space="preserve">размер участия иностранного капитала в совокупном уставном капитале кредитных организаций, имеющих лицензию на осуществление банковских операций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как соотношение иностранных инвестиций нерезидентов в уставные капиталы кредитных организаций, имеющих лицензию на осуществление банковских операций, и совокупного уставного капитала указанных кредитных организаций.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расчет иностранных инвестиций в уставные капиталы кредитных организаций, имеющих лицензию на осуществление банковских операций, не включаются иностранные инвестиции: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осуществленны</w:t>
      </w:r>
      <w:r>
        <w:rPr>
          <w:sz w:val="24"/>
          <w:szCs w:val="24"/>
        </w:rPr>
        <w:t xml:space="preserve">е в уставные капиталы кредитных организаций, имеющих лицензию на осуществление банковских операций, и финансируемые за счет прибыли указанных кредитных организаций, полученной в Российской Федерации или репатриированной в Российскую Федерацию из-за рубежа;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осуществленные имеющими лицензию на осуществление банковских операций дочерними кредитными организациями иностранных бан</w:t>
      </w:r>
      <w:r>
        <w:rPr>
          <w:sz w:val="24"/>
          <w:szCs w:val="24"/>
        </w:rPr>
        <w:t xml:space="preserve">ков в уставные капиталы кредитных организаций, имеющих лицензию на осуществление банковских операций, а также все последующие инвестиции указанных организаций в уставные капиталы кредитных организаций, имеющих лицензию на осуществление банковских операций;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 осуществленные до 1 января 2007 года в уставные капиталы кредитных организаций, имеющих лицензию на осуществление банковских операций;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 осуществленные в уставные капиталы кредитных организаций, имеющих лицензию на осуществление банковских операций, приватизация которых осуществлялась после 22 августа 2012 года;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 составляющие 51 и бол</w:t>
      </w:r>
      <w:r>
        <w:rPr>
          <w:sz w:val="24"/>
          <w:szCs w:val="24"/>
        </w:rPr>
        <w:t xml:space="preserve">ее процентов акций (долей) уставного капитала кредитной организации, имеющей лицензию на осуществление банковских операций, осуществленные после 1 января 2007 года при условии нахождения указанных акций (долей) в собственности инвестора в течение 12 и боле</w:t>
      </w:r>
      <w:r>
        <w:rPr>
          <w:sz w:val="24"/>
          <w:szCs w:val="24"/>
        </w:rPr>
        <w:t xml:space="preserve">е лет, если Банк России по истечении указанного срока не принял решение о продолжении включения указанных инвестиций в расчет и не опубликовал это решение. Порядок принятия Банком России указанного решения и его опубликования устанавливается Банком России.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Информация о размере участия иностранного капитала в </w:t>
      </w:r>
      <w:r>
        <w:rPr>
          <w:sz w:val="24"/>
          <w:szCs w:val="24"/>
        </w:rPr>
        <w:t xml:space="preserve">бан</w:t>
      </w:r>
      <w:r>
        <w:rPr>
          <w:sz w:val="24"/>
          <w:szCs w:val="24"/>
        </w:rPr>
        <w:t xml:space="preserve">ковской системе Российской Федерации</w:t>
      </w:r>
      <w:r>
        <w:rPr>
          <w:sz w:val="24"/>
          <w:szCs w:val="24"/>
        </w:rPr>
        <w:t xml:space="preserve"> и показателях, использованных для его расчета, подлежит опубликованию в официальном издании Банка России «Вестник Банка России», а также размещению на официальном сайте Банка России в информационно-телекоммуникационной сети «Интернет».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Предельное значение размера участия иностранного капитала в </w:t>
      </w:r>
      <w:r>
        <w:rPr>
          <w:sz w:val="24"/>
          <w:szCs w:val="24"/>
        </w:rPr>
        <w:t xml:space="preserve">банковской системе Российской Федерации</w:t>
      </w:r>
      <w:r>
        <w:rPr>
          <w:sz w:val="24"/>
          <w:szCs w:val="24"/>
        </w:rPr>
        <w:t xml:space="preserve"> (далее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квота) установлено в размере, равном 50 процентам.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достижении квоты Банк России осуществляет следующие меры в отношении иностранных инвестиций: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отказывает в регистрации кредитной организации с иностранными инвестициями и выдаче ей лицензии на осуществление банковских операций;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б) налагает запрет на увеличение уставно</w:t>
      </w:r>
      <w:r>
        <w:rPr>
          <w:sz w:val="24"/>
          <w:szCs w:val="24"/>
        </w:rPr>
        <w:t xml:space="preserve">го капитала кредитной организации, имеющей лицензию на осуществление банковских операций, за счет средств нерезидентов и на отчуждение акций (долей) кредитной организации в пользу нерезидентов, если результатом указанных действий является превышение квоты.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12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) отказывает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в аккредитации филиала иностранного банка на территории Российской Федерации.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Акции (доли) кредитной организации, отчужденные (проданные) с нарушением указанного запрета, не являются голосующими и не учитываются при определении кворума общего собрания акционеров (участников) кредитной организации в течение периода действ</w:t>
      </w:r>
      <w:r>
        <w:rPr>
          <w:sz w:val="24"/>
          <w:szCs w:val="24"/>
        </w:rPr>
        <w:t xml:space="preserve">ия такого запрета. В случае совершения сделки (сделок) по отчуждению (приобретению) акций (долей) кредитной организации с нарушением указанного запрета Банк России подает иск о признании соответствующей сделки (сделок) недействительной (недействительными).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Меры, указанные в п.п. а), б), не применяются в отношении иностранных инвестиций, указанных в п.п. 1), 2). Меры, указанные в п. б), не применяются в отношен</w:t>
      </w:r>
      <w:r>
        <w:rPr>
          <w:sz w:val="24"/>
          <w:szCs w:val="24"/>
        </w:rPr>
        <w:t xml:space="preserve">ии иностранных инвестиций, направляемых в уставные капиталы кредитных организаций, имеющих лицензию на осуществление банковских операций, определяемых в соответствии с нормативными актами Банка России на основе международных договоров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Банк России прекращает применение вышеуказанных мер в случае, если размер участия иностранного капитала в </w:t>
      </w:r>
      <w:r>
        <w:rPr>
          <w:sz w:val="24"/>
          <w:szCs w:val="24"/>
        </w:rPr>
        <w:t xml:space="preserve">банковской системе Российской 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составит менее 50 процентов.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Порядок применения и прекращения применения вышеуказанных мер и порядок раскрытия информации о применении, причинах применения, прекращении применения этих мер устанавливаются нормативными актами Банка России.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</w:r>
    </w:p>
    <w:p>
      <w:pPr>
        <w:pStyle w:val="1128"/>
        <w:ind w:firstLine="709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Иные ограничения, связанные с участием в уставном капитале эмитента, установленные его уставом</w:t>
      </w:r>
      <w:r>
        <w:rPr>
          <w:b/>
          <w:i/>
          <w:sz w:val="24"/>
          <w:szCs w:val="24"/>
        </w:rPr>
        <w:t xml:space="preserve">: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Уставом эмитента не установлено ограничений на участие в его уставном капитале.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Иная информация, которая, по мнению эмитента, является существенной для получения заинтересованными лицами общего представления об эмитенте и его финансово-хозяйственной деятельности: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128"/>
        <w:ind w:firstLine="709"/>
        <w:rPr>
          <w:b/>
          <w:i/>
          <w:color w:val="ff0000"/>
          <w:sz w:val="24"/>
          <w:szCs w:val="24"/>
          <w:highlight w:val="yellow"/>
        </w:rPr>
      </w:pPr>
      <w:r>
        <w:rPr>
          <w:b/>
          <w:i/>
          <w:color w:val="ff0000"/>
          <w:sz w:val="24"/>
          <w:szCs w:val="24"/>
          <w:highlight w:val="yellow"/>
        </w:rPr>
      </w:r>
      <w:r>
        <w:rPr>
          <w:b/>
          <w:i/>
          <w:color w:val="ff0000"/>
          <w:sz w:val="24"/>
          <w:szCs w:val="24"/>
          <w:highlight w:val="yellow"/>
        </w:rPr>
      </w:r>
      <w:r>
        <w:rPr>
          <w:b/>
          <w:i/>
          <w:color w:val="ff0000"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формирования уставного капитала кредитной организации - эмитента не могут быть </w:t>
      </w:r>
      <w:r>
        <w:rPr>
          <w:rFonts w:ascii="Times New Roman" w:hAnsi="Times New Roman" w:cs="Times New Roman"/>
          <w:sz w:val="24"/>
          <w:szCs w:val="24"/>
        </w:rPr>
        <w:t xml:space="preserve">использованы привлеченные денежные средства, средства федерального бюджета и государственных внебюджетных фондов, свободные денежные средства и иные объекты собственности, находящиеся в ведении федеральных органов государственной власти, за исключением слу</w:t>
      </w:r>
      <w:r>
        <w:rPr>
          <w:rFonts w:ascii="Times New Roman" w:hAnsi="Times New Roman" w:cs="Times New Roman"/>
          <w:sz w:val="24"/>
          <w:szCs w:val="24"/>
        </w:rPr>
        <w:t xml:space="preserve">чаев, предусмотренных законодательством Российской Федерации; средства бюджетов субъектов Российской Федерации, местных бюджетов, свободные денежные средства и иные объекты собственности, находящиеся в ведении органов государственной власти субъектов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и органов местного самоуправления, могут быть использованы для формирования уставного капитала кредитной организации на основании соответственно законодательного акта субъекта Российской Федерации или решения органа местного самоуправления.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Если иное не установлено федеральными законами, приобретение (за исключением случая, если акции (доли) приобретаются при учреждении кредитной организации) и (или) получение в доверительное управление (далее - приобретение)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осуществления одной сделки или нескольких сделок одним юридическим либо физическим лицом более одного процента акций (долей) кредитной организации требуют уведомления Банка России, а более 10 процентов - предварительного согласия Банка России.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Получение предварительного согласия Банка России требуется также в случае приобретения: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более 10 процентов акций, но не более 25 процентов акций кредитной организации;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более 10 процентов долей, но не более одной трети долей кредитной организации;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более 25 процентов акций кредитной организации, но не более 50 процентов акций;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более одной трети долей кредитной организации, но не более 50 процентов долей;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более 50 процентов акций кредитной организации, но не более 75 процентов акций;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более 50 процентов долей кредитной организации, но не более двух третей долей;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более 75 процентов акций кредитной организации;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более двух третей долей кредитной организации.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Предварительного согласия Банка России требует также установление юридическим или физич</w:t>
      </w:r>
      <w:r>
        <w:rPr>
          <w:rFonts w:ascii="Times New Roman" w:hAnsi="Times New Roman" w:cs="Times New Roman"/>
          <w:sz w:val="24"/>
          <w:szCs w:val="24"/>
        </w:rPr>
        <w:t xml:space="preserve">еским лицом в результате осуществления одной сделки или нескольких сделок прямого либо косвенного (через третьих лиц) контроля в отношении акционеров (участников) кредитной организации, владеющих более чем 10 процентами акций (долей) кредитной организации.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требования распространяются также на случаи приобретения более одного процента акций </w:t>
      </w:r>
      <w:r>
        <w:rPr>
          <w:rFonts w:ascii="Times New Roman" w:hAnsi="Times New Roman" w:cs="Times New Roman"/>
          <w:sz w:val="24"/>
          <w:szCs w:val="24"/>
        </w:rPr>
        <w:t xml:space="preserve">(долей) кредитной организации, более 10 процентов акций (долей) кредитной организации и (или) на случай установления контроля в отношении акционеров (участников) кредитной организации группой лиц, признаваемой таковой в соответствии          с Федеральным </w:t>
      </w:r>
      <w:hyperlink r:id="rId12" w:tooltip="Федеральный закон от 26.07.2006 N 135-ФЗ (ред. от 02.11.2013) &quot;О защите конкуренции&quot;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Банка России на совершение сделки (сделок), направленной на приобретение более 10 процентов акций (долей) кредитной организации и (или) на установление контроля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акционеров (участников) кредитной организации, может быть получено после совершения сделки (далее - последующее согласие) в случае, если приобретение акций кредитной организации и (или) установление контроля в отношении акционеров (участников) кредитной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осуществляются при публичном размещении акций, а также в иных установленных законодательством Российской Федерации. Предусмотренная возможность получения последующего согласия распространяется также на приобретение более 10 процентов акций креди</w:t>
      </w:r>
      <w:r>
        <w:rPr>
          <w:rFonts w:ascii="Times New Roman" w:hAnsi="Times New Roman" w:cs="Times New Roman"/>
          <w:sz w:val="24"/>
          <w:szCs w:val="24"/>
        </w:rPr>
        <w:t xml:space="preserve">тной организации при публичном размещении акций и (или) на установление контроля в отношении акционеров (участников) кредитной организации группой лиц, признаваемой таковой в соответствии с Федеральным законом от 26.07.2006 № 135-ФЗ «О защите конкуренции».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получения предварительного согласия и последующего согласия Банка России на совершение сделки (сделок), направленной на приобретение более 10 процентов акций (долей) кредитной организации и (или) на установление контроля в отношении акционе</w:t>
      </w:r>
      <w:r>
        <w:rPr>
          <w:rFonts w:ascii="Times New Roman" w:hAnsi="Times New Roman" w:cs="Times New Roman"/>
          <w:sz w:val="24"/>
          <w:szCs w:val="24"/>
        </w:rPr>
        <w:t xml:space="preserve">ров (участников) кредитной организации, и порядок уведомления Банка России о приобретении более одного процента акций (долей) кредитной организации устанавливаются федеральными законами и принимаемыми в соответствии с ними нормативными актами Банка России.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Приобретение акций (долей) кредитной организации - эмитента нерезидентами регулируется федеральными законами;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Запрет на право унитарных государственных предприятий выступать учредителями (участниками) кредитных организаций.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30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1.2. Сведения о положении эмитента в отрасли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Par38"/>
      <w:bookmarkEnd w:id="3"/>
      <w:r>
        <w:rPr>
          <w:rFonts w:ascii="Times New Roman" w:hAnsi="Times New Roman" w:cs="Times New Roman"/>
          <w:b/>
          <w:i/>
          <w:sz w:val="24"/>
          <w:szCs w:val="24"/>
        </w:rPr>
        <w:t xml:space="preserve">Общая хара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ктеристика отрасли, в которой эмитент (группа эмитента) осуществляет свою финансово-хозяйственную деятельность. Сведения о структуре отрасли и темпах ее развития, основных тенденциях развития, а также основных факторах, оказывающих влияние на ее состояние: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Экономика Российской Федерации в 2024 г. сохранила быстрые темпы роста на уровне предыдущего года (4,1%), вопреки сохраняющейся геополитической напряженности и усилению </w:t>
      </w:r>
      <w:r>
        <w:rPr>
          <w:rFonts w:ascii="Times New Roman" w:hAnsi="Times New Roman" w:cs="Times New Roman"/>
          <w:sz w:val="24"/>
          <w:szCs w:val="24"/>
        </w:rPr>
        <w:t xml:space="preserve">санкционного</w:t>
      </w:r>
      <w:r>
        <w:rPr>
          <w:rFonts w:ascii="Times New Roman" w:hAnsi="Times New Roman" w:cs="Times New Roman"/>
          <w:sz w:val="24"/>
          <w:szCs w:val="24"/>
        </w:rPr>
        <w:t xml:space="preserve"> давления, в том числе вторичных санкций. Рост экономики характеризовался дальнейшим увеличением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расходов, преимущественно в сфере обороны и безопасности, постепенным ужесточением денежно-кредитной политики вследствие ускорения роста потребительских цен, а также стабильной работой финансовых рынков, несмотря на ввод санкций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Мосбиржи</w:t>
      </w:r>
      <w:r>
        <w:rPr>
          <w:rFonts w:ascii="Times New Roman" w:hAnsi="Times New Roman" w:cs="Times New Roman"/>
          <w:sz w:val="24"/>
          <w:szCs w:val="24"/>
        </w:rPr>
        <w:t xml:space="preserve"> и прекращение биржевых торгов долларом США и евро.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Усиление </w:t>
      </w:r>
      <w:r>
        <w:rPr>
          <w:rFonts w:ascii="Times New Roman" w:hAnsi="Times New Roman" w:cs="Times New Roman"/>
          <w:sz w:val="24"/>
          <w:szCs w:val="24"/>
        </w:rPr>
        <w:t xml:space="preserve">санкционного</w:t>
      </w:r>
      <w:r>
        <w:rPr>
          <w:rFonts w:ascii="Times New Roman" w:hAnsi="Times New Roman" w:cs="Times New Roman"/>
          <w:sz w:val="24"/>
          <w:szCs w:val="24"/>
        </w:rPr>
        <w:t xml:space="preserve"> давления в 2024 г. сбалансировалось положительными эффектами оживления на мировых товарных рынках: по данным Международного валютного </w:t>
      </w:r>
      <w:r>
        <w:rPr>
          <w:rFonts w:ascii="Times New Roman" w:hAnsi="Times New Roman" w:cs="Times New Roman"/>
          <w:sz w:val="24"/>
          <w:szCs w:val="24"/>
        </w:rPr>
        <w:t xml:space="preserve">фонда  рост</w:t>
      </w:r>
      <w:r>
        <w:rPr>
          <w:rFonts w:ascii="Times New Roman" w:hAnsi="Times New Roman" w:cs="Times New Roman"/>
          <w:sz w:val="24"/>
          <w:szCs w:val="24"/>
        </w:rPr>
        <w:t xml:space="preserve"> мирового ВВП и международной торговли составил 3%, цены на нефть марки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Urals</w:t>
      </w:r>
      <w:r>
        <w:rPr>
          <w:rFonts w:ascii="Times New Roman" w:hAnsi="Times New Roman" w:cs="Times New Roman"/>
          <w:sz w:val="24"/>
          <w:szCs w:val="24"/>
        </w:rPr>
        <w:t xml:space="preserve"> выросли с 60 </w:t>
      </w:r>
      <w:r>
        <w:rPr>
          <w:rFonts w:ascii="Times New Roman" w:hAnsi="Times New Roman" w:cs="Times New Roman"/>
          <w:sz w:val="24"/>
          <w:szCs w:val="24"/>
        </w:rPr>
        <w:t xml:space="preserve">долл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барр</w:t>
      </w:r>
      <w:r>
        <w:rPr>
          <w:rFonts w:ascii="Times New Roman" w:hAnsi="Times New Roman" w:cs="Times New Roman"/>
          <w:sz w:val="24"/>
          <w:szCs w:val="24"/>
        </w:rPr>
        <w:t xml:space="preserve">. в среднем за 2023 г. до 67,4 долл./</w:t>
      </w:r>
      <w:r>
        <w:rPr>
          <w:rFonts w:ascii="Times New Roman" w:hAnsi="Times New Roman" w:cs="Times New Roman"/>
          <w:sz w:val="24"/>
          <w:szCs w:val="24"/>
        </w:rPr>
        <w:t xml:space="preserve">барр</w:t>
      </w:r>
      <w:r>
        <w:rPr>
          <w:rFonts w:ascii="Times New Roman" w:hAnsi="Times New Roman" w:cs="Times New Roman"/>
          <w:sz w:val="24"/>
          <w:szCs w:val="24"/>
        </w:rPr>
        <w:t xml:space="preserve">. в 2024 г., выросли мировые цен на металлы и сельхозпродукцию (за исключением зерновых и сахара). Российский экспорт и импорт товаров и услуг по итогам 2024 г. сохранился на уровне предыдущего </w:t>
      </w:r>
      <w:r>
        <w:rPr>
          <w:rFonts w:ascii="Times New Roman" w:hAnsi="Times New Roman" w:cs="Times New Roman"/>
          <w:sz w:val="24"/>
          <w:szCs w:val="24"/>
        </w:rPr>
        <w:t xml:space="preserve">года, что обеспечило относительную стабильность национальной валюты в течение большей части 2024 г. Лишь к концу года санкции на банки и российский флот танкеров вызвали заметное временное ослабление рубля: в результате курс доллара к рублю в течение года </w:t>
      </w:r>
      <w:r>
        <w:rPr>
          <w:rFonts w:ascii="Times New Roman" w:hAnsi="Times New Roman" w:cs="Times New Roman"/>
          <w:sz w:val="24"/>
          <w:szCs w:val="24"/>
        </w:rPr>
        <w:t xml:space="preserve">вырос на 13,4%, курс евро − на 6,9%, курс юаня − на 6,8%. 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Ослабление рубля, рост мировых продовольственных цен и высокие темпы внутреннего спроса стали основными причинами ускорения роста потребительских цен </w:t>
      </w:r>
      <w:r>
        <w:rPr>
          <w:rFonts w:ascii="Times New Roman" w:hAnsi="Times New Roman" w:cs="Times New Roman"/>
          <w:sz w:val="24"/>
          <w:szCs w:val="24"/>
        </w:rPr>
        <w:br/>
        <w:t xml:space="preserve">в России. По итогам</w:t>
      </w:r>
      <w:r>
        <w:rPr>
          <w:rFonts w:ascii="Times New Roman" w:hAnsi="Times New Roman" w:cs="Times New Roman"/>
          <w:sz w:val="24"/>
          <w:szCs w:val="24"/>
        </w:rPr>
        <w:t xml:space="preserve"> 2024 года инфляция составила 9,5% по сравнению с 7,4% в 2023 году. Другими факторами ускорения роста цен стали события структурного (рост цен на услуги туризма и авиабилеты) и единовременного характера (рост утилизационного сбора при покупке автомобиля). 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ответ на ускорение роста цен и рост инфляционных ожиданий населения и бизнеса, Банк России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 полугодии возобновил ужесточение денежно-кредитной политики </w:t>
      </w:r>
      <w:r>
        <w:rPr>
          <w:rFonts w:ascii="Times New Roman" w:hAnsi="Times New Roman" w:cs="Times New Roman"/>
          <w:sz w:val="24"/>
          <w:szCs w:val="24"/>
        </w:rPr>
        <w:br/>
        <w:t xml:space="preserve">и банковского регулирования: с 16% до 21% была повышена ключевая ставка, были ужесточены </w:t>
      </w:r>
      <w:r>
        <w:rPr>
          <w:rFonts w:ascii="Times New Roman" w:hAnsi="Times New Roman" w:cs="Times New Roman"/>
          <w:sz w:val="24"/>
          <w:szCs w:val="24"/>
        </w:rPr>
        <w:t xml:space="preserve">макропруденциальные</w:t>
      </w:r>
      <w:r>
        <w:rPr>
          <w:rFonts w:ascii="Times New Roman" w:hAnsi="Times New Roman" w:cs="Times New Roman"/>
          <w:sz w:val="24"/>
          <w:szCs w:val="24"/>
        </w:rPr>
        <w:t xml:space="preserve"> нормативы, анонсировано повышение в 2025 г. </w:t>
      </w:r>
      <w:r>
        <w:rPr>
          <w:rFonts w:ascii="Times New Roman" w:hAnsi="Times New Roman" w:cs="Times New Roman"/>
          <w:sz w:val="24"/>
          <w:szCs w:val="24"/>
        </w:rPr>
        <w:t xml:space="preserve">антициклической</w:t>
      </w:r>
      <w:r>
        <w:rPr>
          <w:rFonts w:ascii="Times New Roman" w:hAnsi="Times New Roman" w:cs="Times New Roman"/>
          <w:sz w:val="24"/>
          <w:szCs w:val="24"/>
        </w:rPr>
        <w:t xml:space="preserve"> надбавки при расчете нормативов достаточности капитала и ужесточение нормативов риска на одного заемщика или группу связанных заемщиков. 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фоне ужесточения денежно-кредитной политики и регулирования, драйвером роста экономики стал высокий спрос со стороны государства. По итогам 2024 г. бюджет был исполнен со значительным превышением первоначального плана (24,2% при плане 13%) по </w:t>
      </w:r>
      <w:r>
        <w:rPr>
          <w:rFonts w:ascii="Times New Roman" w:hAnsi="Times New Roman" w:cs="Times New Roman"/>
          <w:sz w:val="24"/>
          <w:szCs w:val="24"/>
        </w:rPr>
        <w:t xml:space="preserve">причине  сверхпланового</w:t>
      </w:r>
      <w:r>
        <w:rPr>
          <w:rFonts w:ascii="Times New Roman" w:hAnsi="Times New Roman" w:cs="Times New Roman"/>
          <w:sz w:val="24"/>
          <w:szCs w:val="24"/>
        </w:rPr>
        <w:t xml:space="preserve"> роста </w:t>
      </w:r>
      <w:r>
        <w:rPr>
          <w:rFonts w:ascii="Times New Roman" w:hAnsi="Times New Roman" w:cs="Times New Roman"/>
          <w:sz w:val="24"/>
          <w:szCs w:val="24"/>
        </w:rPr>
        <w:t xml:space="preserve">ненефтегазовых</w:t>
      </w:r>
      <w:r>
        <w:rPr>
          <w:rFonts w:ascii="Times New Roman" w:hAnsi="Times New Roman" w:cs="Times New Roman"/>
          <w:sz w:val="24"/>
          <w:szCs w:val="24"/>
        </w:rPr>
        <w:t xml:space="preserve"> доходов (в размере 26,2% при плане 16%) и сохранения структурного дефицита федерального бюджета на уровне 2023 г. (1,7% ВВП, в плане было запланировано сокращение до 0%). 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экономики сопровождался высокой инвестиционной и потребительской активностью. Так, по итогам года рост инвестиций в основной капитал в реальном выражении составил 7,4%, суммарный оборот розничной торговли, платных усл</w:t>
      </w:r>
      <w:r>
        <w:rPr>
          <w:rFonts w:ascii="Times New Roman" w:hAnsi="Times New Roman" w:cs="Times New Roman"/>
          <w:sz w:val="24"/>
          <w:szCs w:val="24"/>
        </w:rPr>
        <w:t xml:space="preserve">уг населению и общественного питания вырос на 6,4%. Рост потребления и сбережений обеспечивался сохраняющимся стремительным ростом доходов населения: средний размер заработных плат в 2024 году увеличился на 18,3% в номинальном и 9,1% в реальном выражении. 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Дополнительному спросу на отечественные товары по сравнению с импортными способствовали сложности с логистикой и международными расчетами: </w:t>
      </w:r>
      <w:r>
        <w:rPr>
          <w:rFonts w:ascii="Times New Roman" w:hAnsi="Times New Roman" w:cs="Times New Roman"/>
          <w:sz w:val="24"/>
          <w:szCs w:val="24"/>
        </w:rPr>
        <w:br/>
        <w:t xml:space="preserve">в структуре ВВП по итогам 2024 г. доля импорта сократилась до 17,4% </w:t>
      </w:r>
      <w:r>
        <w:rPr>
          <w:rFonts w:ascii="Times New Roman" w:hAnsi="Times New Roman" w:cs="Times New Roman"/>
          <w:sz w:val="24"/>
          <w:szCs w:val="24"/>
        </w:rPr>
        <w:br/>
        <w:t xml:space="preserve">по сравнению с 18,4% в 2023 году и 20,7% в среднем за 2011-2022 годы. 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Агропромышленный комплекс (далее - </w:t>
      </w:r>
      <w:r>
        <w:rPr>
          <w:rFonts w:ascii="Times New Roman" w:hAnsi="Times New Roman" w:cs="Times New Roman"/>
          <w:sz w:val="24"/>
          <w:szCs w:val="24"/>
        </w:rPr>
        <w:t xml:space="preserve">АПК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в 2024 году продолжил свое устойчивое развитие. В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  пищевой</w:t>
      </w:r>
      <w:r>
        <w:rPr>
          <w:rFonts w:ascii="Times New Roman" w:hAnsi="Times New Roman" w:cs="Times New Roman"/>
          <w:sz w:val="24"/>
          <w:szCs w:val="24"/>
        </w:rPr>
        <w:t xml:space="preserve"> и перерабатывающей промышленности прирост составил 3,5% (15,5% в денежном эквиваленте). Объем производства в сельском хозяйстве сократился на 3,2% по причине снижения выпуска продукции </w:t>
      </w:r>
      <w:r>
        <w:rPr>
          <w:rFonts w:ascii="Times New Roman" w:hAnsi="Times New Roman" w:cs="Times New Roman"/>
          <w:sz w:val="24"/>
          <w:szCs w:val="24"/>
        </w:rPr>
        <w:t xml:space="preserve">растениеводства  на</w:t>
      </w:r>
      <w:r>
        <w:rPr>
          <w:rFonts w:ascii="Times New Roman" w:hAnsi="Times New Roman" w:cs="Times New Roman"/>
          <w:sz w:val="24"/>
          <w:szCs w:val="24"/>
        </w:rPr>
        <w:t xml:space="preserve"> 6,5%. К снижению урожая зерновых привел рост числа неблагоприятных природных явлений. Валовый сбор с учетом новых территорий достиг 128,5 млн тонн в чистом весе, что с избытком покрывает внутренний спрос, но несколько ниже значения 2023 г. </w:t>
      </w:r>
      <w:r>
        <w:rPr>
          <w:rFonts w:ascii="Times New Roman" w:hAnsi="Times New Roman" w:cs="Times New Roman"/>
          <w:sz w:val="24"/>
          <w:szCs w:val="24"/>
        </w:rPr>
        <w:t xml:space="preserve">в размере 142,6 млн тонн и рекордного урожая в объеме 158 млн тонн в 2022 году. В животноводстве наблюдался рост на 0,9%. Экспорт продукции АПК в натуральном выражении сохранился на уровне прошлого года, что подтверждает устойчивый спрос на внешних рынках.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банковской системе России в 2024 году сохранялась повышенная активность </w:t>
      </w:r>
      <w:r>
        <w:rPr>
          <w:rFonts w:ascii="Times New Roman" w:hAnsi="Times New Roman" w:cs="Times New Roman"/>
          <w:sz w:val="24"/>
          <w:szCs w:val="24"/>
        </w:rPr>
        <w:br/>
        <w:t xml:space="preserve">в кредитовании физических и юридических лиц. Объем нетто-активов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достиг 199 трлн рублей (100% ВВП), прирост за год несколько замедлился до 16,9%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сравнению с 20,1% в 2023 году. Рост активов и процентных ставок позволил банковскому сектору нарастить чистую прибыль (3,8 трлн руб.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даже относительно рекордных показателей 2023 года (3,2 трлн руб.). Прирост прибыли был практически полностью обеспечен сохранением низких расходов на ре</w:t>
      </w:r>
      <w:r>
        <w:rPr>
          <w:rFonts w:ascii="Times New Roman" w:hAnsi="Times New Roman" w:cs="Times New Roman"/>
          <w:sz w:val="24"/>
          <w:szCs w:val="24"/>
        </w:rPr>
        <w:t xml:space="preserve">зервы, положительной переоценкой и прочими доходами. Увеличение чистого процентного (на 0,7 трлн руб.) и чистого комиссионного (на 0,2 трлн руб.) доходов практически полностью были компенсированы возросшими на 0,8 трлн руб. или 24% операционными расходами.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кредитная активность в первой половине 2024 года сменилась постепенным о</w:t>
      </w:r>
      <w:r>
        <w:rPr>
          <w:rFonts w:ascii="Times New Roman" w:hAnsi="Times New Roman" w:cs="Times New Roman"/>
          <w:sz w:val="24"/>
          <w:szCs w:val="24"/>
        </w:rPr>
        <w:t xml:space="preserve">хлаждением во второй половине 2024 года в ответ на повышение Банком России ключевой ставки и ужесточение регулирования. Рост корпоративного кредитования в 2024 году составил 17,9% по сравнению с 20,5% в 2023 году. Кредитование отраслей АПК выросло на 7,9% </w:t>
      </w:r>
      <w:r>
        <w:rPr>
          <w:rFonts w:ascii="Times New Roman" w:hAnsi="Times New Roman" w:cs="Times New Roman"/>
          <w:sz w:val="24"/>
          <w:szCs w:val="24"/>
        </w:rPr>
        <w:t xml:space="preserve">по  сравнению</w:t>
      </w:r>
      <w:r>
        <w:rPr>
          <w:rFonts w:ascii="Times New Roman" w:hAnsi="Times New Roman" w:cs="Times New Roman"/>
          <w:sz w:val="24"/>
          <w:szCs w:val="24"/>
        </w:rPr>
        <w:t xml:space="preserve"> с сокращением портфеля на 4,3% в 2023 году. Доля просроченной задолженности в секторе АПК снизилась с 4,3% до 4,0%, доля просроченной задолженности по юридическим лицам в целом – с 2,9% до 2,6%.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Кредитование населения в 2024 году выросло на 14,2%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NOTEREF _Ref157079516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 сравнению с 26,5% </w:t>
      </w:r>
      <w:r>
        <w:rPr>
          <w:rFonts w:ascii="Times New Roman" w:hAnsi="Times New Roman" w:cs="Times New Roman"/>
          <w:sz w:val="24"/>
          <w:szCs w:val="24"/>
        </w:rPr>
        <w:br/>
        <w:t xml:space="preserve">в 2023 году, преимущественно за счет ипотечных и автокредитов, а также роста портфеля кредитных карт. Под влиянием ужесточения регулирования и роста ставок к концу года объемы выдач кредитов существенно снизились. Объем плохих долгов </w:t>
      </w:r>
      <w:r>
        <w:rPr>
          <w:rFonts w:ascii="Times New Roman" w:hAnsi="Times New Roman" w:cs="Times New Roman"/>
          <w:sz w:val="24"/>
          <w:szCs w:val="24"/>
        </w:rPr>
        <w:br/>
        <w:t xml:space="preserve">в течение года увеличился, но его доля держалась стабильной за счёт активного роста розничного портфеля.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вкладов населения в 2024 г. составил 26,1%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NOTEREF _Ref157079516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г/г (в 2023 году - 19,7 %). Прирост средств и депозитов юридических лиц без учета средств бюджета и </w:t>
      </w:r>
      <w:r>
        <w:rPr>
          <w:rFonts w:ascii="Times New Roman" w:hAnsi="Times New Roman" w:cs="Times New Roman"/>
          <w:sz w:val="24"/>
          <w:szCs w:val="24"/>
        </w:rPr>
        <w:t xml:space="preserve">эскроу</w:t>
      </w:r>
      <w:r>
        <w:rPr>
          <w:rFonts w:ascii="Times New Roman" w:hAnsi="Times New Roman" w:cs="Times New Roman"/>
          <w:sz w:val="24"/>
          <w:szCs w:val="24"/>
        </w:rPr>
        <w:t xml:space="preserve"> в декабре 2024 года составил 11,9% в связи со снижением валютных остатков. Объем средств </w:t>
      </w:r>
      <w:r>
        <w:rPr>
          <w:rFonts w:ascii="Times New Roman" w:hAnsi="Times New Roman" w:cs="Times New Roman"/>
          <w:sz w:val="24"/>
          <w:szCs w:val="24"/>
        </w:rPr>
        <w:t xml:space="preserve">бюджета  в</w:t>
      </w:r>
      <w:r>
        <w:rPr>
          <w:rFonts w:ascii="Times New Roman" w:hAnsi="Times New Roman" w:cs="Times New Roman"/>
          <w:sz w:val="24"/>
          <w:szCs w:val="24"/>
        </w:rPr>
        <w:t xml:space="preserve"> банковской системе вырос на 5,5% (в 2023 году - 24,4%). Рост средств на счетах </w:t>
      </w:r>
      <w:r>
        <w:rPr>
          <w:rFonts w:ascii="Times New Roman" w:hAnsi="Times New Roman" w:cs="Times New Roman"/>
          <w:sz w:val="24"/>
          <w:szCs w:val="24"/>
        </w:rPr>
        <w:t xml:space="preserve">эскроу</w:t>
      </w:r>
      <w:r>
        <w:rPr>
          <w:rFonts w:ascii="Times New Roman" w:hAnsi="Times New Roman" w:cs="Times New Roman"/>
          <w:sz w:val="24"/>
          <w:szCs w:val="24"/>
        </w:rPr>
        <w:t xml:space="preserve"> замедлился до 9,7% (в 2023 году</w:t>
      </w:r>
      <w:r>
        <w:rPr>
          <w:rFonts w:ascii="Times New Roman" w:hAnsi="Times New Roman" w:cs="Times New Roman"/>
          <w:sz w:val="24"/>
          <w:szCs w:val="24"/>
        </w:rPr>
        <w:t xml:space="preserve"> - 38,4%) вследствие увеличения объемов раскрытия и сокращения на 5,8% притока новых средств.</w:t>
      </w:r>
      <w:r>
        <w:rPr>
          <w:rFonts w:ascii="Times New Roman" w:hAnsi="Times New Roman" w:eastAsia="Times New Roman" w:cs="Times New Roman"/>
          <w:color w:val="000000" w:themeColor="text1"/>
          <w:highlight w:val="green"/>
        </w:rPr>
        <w:t xml:space="preserve"> </w:t>
      </w:r>
      <w:r>
        <w:rPr>
          <w:rFonts w:ascii="Times New Roman" w:hAnsi="Times New Roman" w:cs="Times New Roman"/>
          <w:color w:val="000000" w:themeColor="text1"/>
          <w:highlight w:val="green"/>
        </w:rPr>
      </w:r>
      <w:r>
        <w:rPr>
          <w:rFonts w:ascii="Times New Roman" w:hAnsi="Times New Roman" w:cs="Times New Roman"/>
          <w:color w:val="000000" w:themeColor="text1"/>
          <w:highlight w:val="green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Общая оценка результатов финансово-хозяйственной деятельности эмитента (группы эмитента) в данной отрасли: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ры</w:t>
      </w:r>
      <w:r>
        <w:rPr>
          <w:rFonts w:ascii="Times New Roman" w:hAnsi="Times New Roman" w:cs="Times New Roman"/>
          <w:sz w:val="24"/>
          <w:szCs w:val="24"/>
        </w:rPr>
        <w:t xml:space="preserve">нке кредитов юридических лиц (нефинансовых организаций) доля Банка по итогам 2024 года составила 4,1% (4,2% в 2023 году). Доля Банка на рынке розничных кредитов составила 1,6% (1,7% в 2023 году) в условиях приоритета сохранения высокого качества портфеля. 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портфеле привлеченных средств юридических лиц, включая </w:t>
      </w:r>
      <w:r>
        <w:rPr>
          <w:rFonts w:ascii="Times New Roman" w:hAnsi="Times New Roman" w:cs="Times New Roman"/>
          <w:sz w:val="24"/>
          <w:szCs w:val="24"/>
        </w:rPr>
        <w:t xml:space="preserve">эскроу</w:t>
      </w:r>
      <w:r>
        <w:rPr>
          <w:rFonts w:ascii="Times New Roman" w:hAnsi="Times New Roman" w:cs="Times New Roman"/>
          <w:sz w:val="24"/>
          <w:szCs w:val="24"/>
        </w:rPr>
        <w:t xml:space="preserve"> и средства бюджета, доля Банка не изменилась, составив 2,8%, при этом значительно улучшилась структура портфеля за счет увеличения сегмента средств до востребования и </w:t>
      </w:r>
      <w:r>
        <w:rPr>
          <w:rFonts w:ascii="Times New Roman" w:hAnsi="Times New Roman" w:cs="Times New Roman"/>
          <w:sz w:val="24"/>
          <w:szCs w:val="24"/>
        </w:rPr>
        <w:t xml:space="preserve">эскроу</w:t>
      </w:r>
      <w:r>
        <w:rPr>
          <w:rFonts w:ascii="Times New Roman" w:hAnsi="Times New Roman" w:cs="Times New Roman"/>
          <w:sz w:val="24"/>
          <w:szCs w:val="24"/>
        </w:rPr>
        <w:t xml:space="preserve"> Рыночная доля Банка на рынке средств физических лиц сократилась на 0,5 </w:t>
      </w:r>
      <w:r>
        <w:rPr>
          <w:rFonts w:ascii="Times New Roman" w:hAnsi="Times New Roman" w:cs="Times New Roman"/>
          <w:sz w:val="24"/>
          <w:szCs w:val="24"/>
        </w:rPr>
        <w:t xml:space="preserve">п.п</w:t>
      </w:r>
      <w:r>
        <w:rPr>
          <w:rFonts w:ascii="Times New Roman" w:hAnsi="Times New Roman" w:cs="Times New Roman"/>
          <w:sz w:val="24"/>
          <w:szCs w:val="24"/>
        </w:rPr>
        <w:t xml:space="preserve">. до 3,2%.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eastAsia="ru-RU"/>
        </w:rPr>
        <w:t xml:space="preserve">Доля Банка на рынке кредитования АПК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</w:p>
    <w:tbl>
      <w:tblPr>
        <w:tblStyle w:val="1177"/>
        <w:tblW w:w="0" w:type="auto"/>
        <w:tblLook w:val="04A0" w:firstRow="1" w:lastRow="0" w:firstColumn="1" w:lastColumn="0" w:noHBand="0" w:noVBand="1"/>
      </w:tblPr>
      <w:tblGrid>
        <w:gridCol w:w="945"/>
        <w:gridCol w:w="2925"/>
        <w:gridCol w:w="1680"/>
        <w:gridCol w:w="1680"/>
        <w:gridCol w:w="1680"/>
      </w:tblGrid>
      <w:tr>
        <w:trPr>
          <w:trHeight w:val="720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Вид деятельности Банка на рынке кредитования АПК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Рыночная доля Банка 31.12.2022, в процентах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Рыночная доля Банка 31.12.2023, в процентах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Рыночная доля Банка 31.12.2024, в процентах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Кредитование АПК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Финансирование сезонных работ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Льготное кредитование АПК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дополнение к классическому банковскому бизнесу, Банк в рамках Группы развивает финансовые сервисы, включая услуги лизинга, факторинга, страхования и управления активами. В этих секторах по состоянию на 01.01.202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Группа занимает: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6"/>
          <w:ilvl w:val="0"/>
        </w:numPr>
        <w:tabs>
          <w:tab w:val="left" w:pos="993" w:leader="none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место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сельскохозяйственному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страхованию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6"/>
          <w:ilvl w:val="0"/>
        </w:numPr>
        <w:tabs>
          <w:tab w:val="left" w:pos="993" w:leader="none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11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место по инвестиционному и накопительному страхованию жизни;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6"/>
          <w:ilvl w:val="0"/>
        </w:numPr>
        <w:tabs>
          <w:tab w:val="left" w:pos="993" w:leader="none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место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факторинговому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портфелю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Фактические показатели, характеризующие положение эмитента (группы эмитента) в банковском секторе экономики в целом. Оц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енка соответствия результатов деятельности эмитента (группы эмитента) тенденциям развития банковского сектора экономики. Причины, обосновывающие полученные результаты деятельности (удовлетворительные и неудовлетворительные, по мнению эмитента, результаты):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spacing w:after="0" w:line="240" w:lineRule="auto"/>
        <w:ind w:firstLine="567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Валютная переоценка показателей баланса оказывала существенный эффект из-за ослабления курса рубля к доллару в течение 2024 г. на 13,4%. Поскольку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валютизация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статей баланса РСХБ отличается от показателя в целом по рынку, в целях более корректного сравнения ниже показатели прироста портфеля приведены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с  исключением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валютной переоценки. Показатели баланса Банка также рассчитаны в соответствии с группировкой счетов, используемой Банком России для расчета аналитических показателей  по рынку в целом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vertAlign w:val="superscript"/>
          <w:lang w:eastAsia="ru-RU"/>
        </w:rPr>
        <w:footnoteReference w:id="5"/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и могут немного отличаться от показателей, приведенных в других разделах документа. 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Суммарный кредитный портфель Банка в 2024 году увеличился на 12,9% и на 01.01.2025 составил 4,2 трлн руб. Основную долю портфеля Банка составляют кредиты, предоставленные корпоративным заемщикам: их доля на 01.01.2025 составила 86%.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Объем корпоративного кредитного портфеля в 2024 году вырос на 14,4%, рынок вырос на 17,9%.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Более низкий прирост портфеля 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СХБ обусловлен сравнительно небольшим темпом изменения кредитного портфеля профильного для Банка сегмента АПК (7,9%) по сравнению с другими отраслями. Собственный портфель Банка сектора АПК был увеличен на 13% – почти с двукратным опережением рынка. Доля 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росроченной задолженности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юридических лиц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в Банке сократилась на 1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п.п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. до 2,1%, что существенно лучше среднего рыночного уровня (2,6%).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Розничный кредитный портфель в 2024 году вырос на 2,5%. Рынок в 2024 г. вырос на 14,2% с поправкой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секьюритизацию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выкуп специализированными финансовыми обществами части портфеля. В структуре розничного кредитного портфеля 81% пришелся на ипотечный кредитный портфель, который за 2024 год увеличился сопоставимыми с рынком темпом - 12% против 13,4%.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Просроченная задолженность розничного портфеля Банка сократилась на 0,3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п.п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. до 2,5% (3,7% по рынку в целом). По этому показателю Банк входит в тройку лидеров среди крупнейших кредитных организаций.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ривлеченные средства юридических лиц, включая счета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эскроу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и государственные средства, в 2024 г. выросли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на  10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,4% по сравнению с 11% в целом по рынку.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При этом значительно улучшилась структура портфеля: доля средств до востребования в структуре привлеченных средств выросла с 14,3% до 16,8%, в то время как на рынке произошло ее снижение с 29,7% до 26,4%.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Прирост привлеченных Банком средств физических лиц в 2024 году составил 9,6% (по рынку в целом - 27%) и соответствовал динамике расширения кредитного портфеля Банка.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Увеличение доли текущих счетов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юридических лиц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в структуре фондирования, а также сдержанный рост средств физических лиц позволил ограничить рост стоимости пассивов в условиях увеличения уровня ставок.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состоянию на 01.01.2025 Банк входит в ТОП крупнейших кредитных организаций Российской Федерации, занимая: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7"/>
          <w:ilvl w:val="0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1 место по финансированию сезонных работ АПК; </w:t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137"/>
        <w:numPr>
          <w:numId w:val="67"/>
          <w:ilvl w:val="0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3 место по размеру филиальной сети.</w:t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 xml:space="preserve">По состоянию на 01.01.2025 года Банк занимал ведущие позиции на рынках кредитования (по кредитному портфелю) ключевых </w:t>
      </w:r>
      <w:r>
        <w:rPr>
          <w:rFonts w:ascii="Times New Roman" w:hAnsi="Times New Roman" w:cs="Times New Roman"/>
          <w:sz w:val="24"/>
          <w:highlight w:val="white"/>
        </w:rPr>
        <w:t xml:space="preserve">подотраслей</w:t>
      </w:r>
      <w:r>
        <w:rPr>
          <w:rFonts w:ascii="Times New Roman" w:hAnsi="Times New Roman" w:cs="Times New Roman"/>
          <w:sz w:val="24"/>
          <w:highlight w:val="white"/>
        </w:rPr>
        <w:t xml:space="preserve"> АПК. В частности, рыночная доля Банка составила: </w:t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137"/>
        <w:numPr>
          <w:numId w:val="67"/>
          <w:ilvl w:val="0"/>
        </w:numPr>
        <w:tabs>
          <w:tab w:val="left" w:pos="851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по отрасли «Сельское хозяйство, охота и предоставление услуг в этих областях» – 4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4,5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%; </w:t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137"/>
        <w:numPr>
          <w:numId w:val="67"/>
          <w:ilvl w:val="0"/>
        </w:numPr>
        <w:tabs>
          <w:tab w:val="left" w:pos="851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по отрасли «Производство пищевых продуктов, включая напитки, и табака» – 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20,4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%;</w:t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137"/>
        <w:numPr>
          <w:numId w:val="67"/>
          <w:ilvl w:val="0"/>
        </w:numPr>
        <w:tabs>
          <w:tab w:val="left" w:pos="851" w:leader="none"/>
          <w:tab w:val="left" w:pos="993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Банк занимает лидирующие позиции на рынке кредитования сезонных работ, на 01.01.2025 года рыночная доля Банка (по выдачам) составила 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68,7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%.</w:t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об основных конкурентах эмитента (группы эмитента), сопоставление сильных и слабых сторон эмитента (группы эмитента) в сравнении с ними.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Основными конкурентами Банка на рынке корпоративного и розничного кредитования являются Банк ВТБ (ПАО), АО «ДОМ.РФ», Банк ГПБ (АО) и ПАО Промсвязьбанк.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Основным конкурентом Банка на рынке кредитования АПК является ПАО Сбербанк.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Сильные стороны Банка: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1137"/>
        <w:numPr>
          <w:numId w:val="6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Системная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поддержка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кционера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Статус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государственного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Лидерство в кредитовании АПК, в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т.ч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. малых форм хозяйствования, в финансировании сезонных работ;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Уникальная отраслевая экспертиза в АПК;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Широкая продуктовая линейка универсального банка, адаптированная к потребностям клиентов АПК, в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т.ч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. малых форм хозяйствования;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Широкая филиальная сеть, присутствие в малых городах и сельской местности;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Участие Банка в приоритетных национальных проектах, активное взаимодействие с органами государственной власти, ключевыми отраслевыми союзами АПК.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Слабые стороны Банка: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1137"/>
        <w:numPr>
          <w:numId w:val="69"/>
          <w:ilvl w:val="0"/>
        </w:numPr>
        <w:spacing w:after="0" w:line="240" w:lineRule="auto"/>
        <w:ind w:left="1134" w:right="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Невысокая доля остатков до востребования на текущих и расчетных счетах;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9"/>
          <w:ilvl w:val="0"/>
        </w:numPr>
        <w:spacing w:after="0" w:line="240" w:lineRule="auto"/>
        <w:ind w:left="1134" w:right="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Доля комиссионных доходов в структуре доходов Банка несколько ниже среднего значения по банковской системе в целом;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37"/>
        <w:numPr>
          <w:numId w:val="69"/>
          <w:ilvl w:val="0"/>
        </w:numPr>
        <w:spacing w:after="0" w:line="240" w:lineRule="auto"/>
        <w:ind w:left="1134" w:right="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Доля продаж в дистанционных каналах отстает от среднего показателя по банковской системе в целом.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Отдельное (несовпадающее) мнение каждого из органов управления эмитента относительно представленной информации и аргументация, объясняющая их позицию.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Отдельные (несовпадающие) мнения органов управления Эмитента относительно представленных данных отсутствуют.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Особые мнения членов совета директоров (наблюдательного совета) эмитента или членов коллегиального исполнительного органа эмитента (настаивающих на отражении в отчете эмитента таких мнений) относительно представленной информации, отраженны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е в протоколе собрания (заседания) совета директоров (наблюдательного совета) эмитента или коллегиального исполнительного органа, на котором рассматривались соответствующие вопросы, и аргументация членов органов управления эмитента, объясняющая их позиции: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Особые мнения членов Наблюдательного совета или членов Правления Эмитента относительно представленной информации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Основные операционные показатели, характеризующие деятельность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новные операционные показатели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наиболее объективно и всесторонне характеризую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щие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финансово-хозяйственную деятельность группы эмитента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натуральном выражении: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720"/>
        <w:gridCol w:w="4662"/>
        <w:gridCol w:w="1984"/>
        <w:gridCol w:w="1844"/>
      </w:tblGrid>
      <w:tr>
        <w:trPr>
          <w:trHeight w:val="300"/>
        </w:trPr>
        <w:tblPrEx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01.01.202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Активы группы, 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5 566 351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4 746 219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Рентабельность активов (ROА),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9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Кредитный портфель до вычета резервов по кредитным убыткам (включая кредиты, оцениваемые по справедливой стоимости),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4 238 133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3 719 218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Кредиты юридическим лицам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3 657 335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3 151 947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Кредиты физическим лицам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580 798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567 271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527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Средства клиентов,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4 119 336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3 653 685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Юридических лиц,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1 948 505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1 722 974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текущие/расчетные счета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327 561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275 975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срочные депозиты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1 620 944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1 446 999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Физических лиц,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2 170 831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1 930 711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текущие счета/счета до востребования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336 081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398 034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срочные депозиты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1 834 750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1 532 677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Соотношение кредитов к депозитам (LD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102,9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101,8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Уставный капитал Группы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523 333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84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523 333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нализ динамики изменения приведенных показателей операционной деятельн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ости эмитента (группы эмитента): 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состоянию на 01.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 активы группы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увеличились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820 132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или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 по сравнению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началом года и составили 5 566 351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Рентабельность активов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 составила 0,8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 базисных пунктов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выше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значе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Кредитный портфель до вычета резервов по кредитным убыткам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состоянию на 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 составил 4 238 133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увеличившись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518 915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95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сравнению с 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ом в основном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за счет роста кредитов юридическим лицам на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505 388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03%)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Средства клиентов, составляющие 4 119 336 млн рублей, в отчетном периоде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увелич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ились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сравнению с 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465 651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12,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74%)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за счет увеличения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объема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срочных депозитов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юридических лиц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173 945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(+12,02%) 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физических лиц на 302 073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(+19,71%)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ffffff" w:themeColor="background1" w:fill="ffffff" w:themeFill="background1"/>
        </w:rPr>
        <w:t xml:space="preserve">В структуре привлеченных средств клиентов основную долю составляют срочные депозиты.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Доля срочных депозитов юридических лиц от общей суммы привлеченных средств клиентов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 составила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35% (на 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 –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39,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60%), доля срочных депозитов физических лиц от общей суммы привлеченных средств клиентов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 составила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54% (на 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–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41,95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%).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Соотношение кредитов к депозитам за 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незначительно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1,10% увеличилось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поскольку темп роста кредитного портфеля в отчетном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незначительно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превышал темп роста привлеченных средств клиентов.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Уставный капитал Группы по состоянию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 года составил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523 333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не претерпел изменений в течение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сновные события и факторы, в том числе макроэкономические, произошедшие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отчетном периоде, которые, по мнению эмитента, оказали существенно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влияние на изменение основных операционных показателей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руппы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эмитента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Увеличение ключевой ставки Банком России с 16% до 21% на фоне сохраняющихся ин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фляционных рисков способствовало дальнейшему росту стоимости фондирования и доходности от размещения средств, а также увеличению доли депозитов и накопительных счетов (счетов с минимальным остатком) в структуре сбережений домохозяйств и финансовых активов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юридических лиц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Сохранение быстрых темпов роста экономики и доходов населения, стабильное финансовое положение в АПК позволили снизить стоимость кредитного риска (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COR) как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в корпоративном, так и розничном сегментах.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Сохранение объемов финансовой государственной поддержки АПК и изменение условий ее предоставления позволило нарастить выдачу льготных кредитов агропромышленному сектору.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Сдерживающее влияние на кредитную активность к концу года начала оказывать жесткая политика Банка России, ужесточение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макропруденциального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регулирования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и  существенное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повышение траектории изменения нормативов достаточности капитала в 2025 г. за счет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антициклических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надбавок.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Основные финансовые показатели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</w:r>
      <w:r>
        <w:rPr>
          <w:rFonts w:ascii="Calibri,Bold" w:hAnsi="Calibri,Bold" w:cs="Calibri,Bold"/>
          <w:b/>
          <w:bCs/>
        </w:rPr>
      </w:r>
      <w:r>
        <w:rPr>
          <w:rFonts w:ascii="Calibri,Bold" w:hAnsi="Calibri,Bold" w:cs="Calibri,Bold"/>
          <w:b/>
          <w:bCs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 Основные финансовые показатели эмитента, рассчитываемые на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консолидированной финансовой отчетности (финансовой отчетности), за исключением эмитентов, являющихся кредитной организацией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применимо. Эмитент является кредитной организацией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</w:r>
      <w:r>
        <w:rPr>
          <w:rFonts w:ascii="Calibri,Bold" w:hAnsi="Calibri,Bold" w:cs="Calibri,Bold"/>
          <w:b/>
          <w:bCs/>
        </w:rPr>
      </w:r>
      <w:r>
        <w:rPr>
          <w:rFonts w:ascii="Calibri,Bold" w:hAnsi="Calibri,Bold" w:cs="Calibri,Bold"/>
          <w:b/>
          <w:bCs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1.4.2 Основные финансовые показатели эмитента, рассчитываемые на основе бухгалтерской (финансовой) отчетности (для эмитентов, не составляющих и не раскрывающих консолидированную финансовую отчетность (финансовую отчетность)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применимо. Эмитент составляет консолидированную финансовую отчетность</w:t>
      </w:r>
      <w:r>
        <w:rPr>
          <w:rFonts w:ascii="Times New Roman" w:hAnsi="Times New Roman" w:eastAsia="Times New Roman" w:cs="Times New Roman"/>
          <w:color w:val="385623" w:themeColor="accent6" w:themeShade="8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1.4.3 Основные финансовые показатели эмитент</w:t>
      </w:r>
      <w:r>
        <w:rPr>
          <w:rFonts w:ascii="Times New Roman" w:hAnsi="Times New Roman" w:cs="Times New Roman"/>
          <w:b/>
          <w:sz w:val="24"/>
          <w:szCs w:val="24"/>
        </w:rPr>
        <w:t xml:space="preserve">а, являющегося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кредитн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</w:t>
      </w:r>
      <w:r>
        <w:rPr>
          <w:rFonts w:ascii="Times New Roman" w:hAnsi="Times New Roman" w:cs="Times New Roman"/>
          <w:b/>
          <w:sz w:val="24"/>
          <w:szCs w:val="24"/>
        </w:rPr>
        <w:t xml:space="preserve">ей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708" w:type="dxa"/>
        <w:tblLook w:val="04A0" w:firstRow="1" w:lastRow="0" w:firstColumn="1" w:lastColumn="0" w:noHBand="0" w:noVBand="1"/>
      </w:tblPr>
      <w:tblGrid>
        <w:gridCol w:w="720"/>
        <w:gridCol w:w="4662"/>
        <w:gridCol w:w="2126"/>
        <w:gridCol w:w="1519"/>
        <w:gridCol w:w="223"/>
        <w:gridCol w:w="1458"/>
      </w:tblGrid>
      <w:tr>
        <w:trPr>
          <w:gridAfter w:val="2"/>
          <w:trHeight w:val="300"/>
        </w:trPr>
        <w:tblPrEx/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4 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1519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r>
          </w:p>
        </w:tc>
      </w:tr>
      <w:tr>
        <w:trPr>
          <w:gridAfter w:val="2"/>
          <w:trHeight w:val="300"/>
        </w:trPr>
        <w:tblPrEx/>
        <w:tc>
          <w:tcPr>
            <w:tcW w:w="9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консолидированного отчета о прибылях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 убытках и прочем совокупном доходе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6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Чистые процентные доходы после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расходов по кредитным убыткам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, млн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99 648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82 160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681" w:type="dxa"/>
            <w:gridSpan w:val="2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Процентные доходы,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, в том числе: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697 415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429 128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финансовые инструменты, оцениваемые через прибыль или убыток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39 715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20 953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51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кредиты и авансы, оцениваемые по амортизированной стоимости, в том числе: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540 912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347 695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142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кредиты и авансы юридическим лицам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455 122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285 778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кредиты и авансы физическим лицам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85 790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61 917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прочие финансовые инструменты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116 788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60 480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Процентные расходы, млн руб., в том числе: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553 260)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(290 133)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1.2.1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срочные депозиты, в том числе: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425 705)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(218 875)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срочные депозиты юридических лиц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247 141)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(127 163)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срочные вклады физических лиц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178 564)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(91 712)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1.2.2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выпущенные ценные бумаги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21 389)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(13 774)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1.2.3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субординированные обязательства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12 270)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(14 964)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1.2.4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прочие процентные расходы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93 896)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(42 520)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4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Расходы по кредитным убыткам,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32 976)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(47 058)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vMerge w:val="restart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27"/>
        </w:trPr>
        <w:tblPrEx/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Расходы, непосредственно связанные со страхованием вкладов,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11 531)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(9 777)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vMerge w:val="continue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Чистая процентная маржа (NIM), %.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Чистые комиссионные доходы,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22 318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21 635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комиссионные доходы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25 768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24 908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комиссионные расходы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(3 450)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(3 273)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Операционные доходы,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136 593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121 159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Коэффициент отношения затрат к доходу (CIR),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47,7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Чистая прибыль за период,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39 825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31 847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Рентабельность капитала (ROE),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11,0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204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Стоимость риска (COR),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1"/>
          <w:trHeight w:val="250"/>
        </w:trPr>
        <w:tblPrEx/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Доля неработающих кредитов в кредитном портфеле,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0" w:type="auto"/>
            <w:noWrap w:val="false"/>
            <w:textDirection w:val="lrTb"/>
            <w:vAlign w:val="center"/>
          </w:tcPr>
          <w:p/>
        </w:tc>
      </w:tr>
      <w:tr>
        <w:trPr>
          <w:gridAfter w:val="2"/>
          <w:trHeight w:val="300"/>
        </w:trPr>
        <w:tblPrEx/>
        <w:tc>
          <w:tcPr>
            <w:tcW w:w="9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собственных средств (капитала) и обязательных нормативов достаточности капитала Группы*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Собственные средства (капитал),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550 039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579 916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>
          <w:gridAfter w:val="2"/>
          <w:trHeight w:val="6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Норматив достаточности собственных средств (капитала),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>
          <w:gridAfter w:val="2"/>
          <w:trHeight w:val="6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Норматив достаточности базового капитала банка,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>
          <w:gridAfter w:val="2"/>
          <w:trHeight w:val="600"/>
        </w:trPr>
        <w:tblPrEx/>
        <w:tc>
          <w:tcPr>
            <w:tcW w:w="7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6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Норматив достаточности основного капитала,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9,5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*Заполнено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данным отчетной формы 0409805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без учета СПОД (событий после отчетной даты).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1.4.4. Иные финансовые показатели, в том числе характеризующие финансовые результаты деятельности эмитента (г</w:t>
      </w:r>
      <w:r>
        <w:rPr>
          <w:rFonts w:ascii="Times New Roman" w:hAnsi="Times New Roman" w:cs="Times New Roman"/>
          <w:b/>
          <w:sz w:val="24"/>
          <w:szCs w:val="24"/>
        </w:rPr>
        <w:t xml:space="preserve">руппы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деятельности эмитента (группы эмитента).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Иных финансовых показателей, в том числе характеризующие финансовые результаты деятельности эмитента (группы</w:t>
      </w:r>
      <w:r>
        <w:rPr>
          <w:rFonts w:ascii="Times New Roman" w:hAnsi="Times New Roman" w:cs="Times New Roman"/>
          <w:sz w:val="24"/>
          <w:szCs w:val="24"/>
        </w:rPr>
        <w:t xml:space="preserve">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деятельности эмитента (группы эмитента), нет.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1.4.5. Анализ динамики изменения финансовых показателей, приведенных в подпункте 1.4.3 настоящего пункта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роцентные доходы в 2024 году составили 697 415 млн рублей и  значительно,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268 287 млн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62,52%), выросли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сравнению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2023 годом.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Основной рост процентных доходов связан с увеличением кредитного портфеля и процентного дохода по креди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ому портфелю на 193 217 млн 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ублей (+55,57%) по сравнению с аналогичными показателями за 2023 год.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Процентные расходы в 2024 году значительно, на 263 127 млн рублей (+90,69%), выросли по сравнению с 2023 годом и составили 553 260 млн рублей.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Значительный рост процентных расходов связан с увеличением процентных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  <w:lang w:eastAsia="ru-RU"/>
        </w:rPr>
        <w:t xml:space="preserve">расходов по срочным депозитам юридических и физических лиц на 206 830 млн рублей (+94,50%) и прочих процентных расходов на 51 376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рублей (+120,83%). </w:t>
      </w:r>
      <w:r>
        <w:rPr>
          <w:rFonts w:ascii="Times New Roman" w:hAnsi="Times New Roman" w:cs="Times New Roman"/>
          <w:color w:val="ff0000"/>
          <w:sz w:val="24"/>
          <w:szCs w:val="24"/>
          <w:highlight w:val="green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green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Расходы по кредитным убыткам по итогам 2024 года сократились на 14 082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(-29,92%) по сравнению с аналогичным показателем по итогам 2023 года и составили 32 976 млн рублей.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истые процентные доходы после расходов по кредитным убыткам в 2024 году увеличились на 17 488 млн рублей (+21,29%) по сравнению с данными за 2023 год.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состоянию на 01.01.2025 чистая процентная маржа составила 2,7%, что на 20 базисных пунктов ниже аналогичного показателя на 01.01.2024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Чистые комиссионные доходы в отчетном году практически не изменились и составили 22 318 млн рублей, что на 3,16% больше аналогичного показателя за 2023 год. </w:t>
      </w:r>
      <w:r>
        <w:rPr>
          <w:rFonts w:ascii="Times New Roman" w:hAnsi="Times New Roman" w:cs="Times New Roman"/>
          <w:color w:val="ff0000"/>
          <w:sz w:val="24"/>
          <w:szCs w:val="24"/>
          <w:highlight w:val="green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green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Операционные доходы в 2024 году выросли на 15 434 млн рублей (+12,74%), по сравнению с 2023 годом и составили 136 593 млн рублей.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Чистая прибыль за 2024 год увеличилась на 7 978 млн рублей (+25,05%) и составила 39 825 млн рублей против 31 847 млн рублей за 2023 год. Рост чистой прибыли обусловлен ростом чистых процентных доходов.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Собственные средства (капитал) Группы на 01.01.2025 года, рассчитанные в соответствии с </w:t>
      </w:r>
      <w:hyperlink r:id="rId13" w:tooltip="consultantplus://offline/ref=9AEDFF8C039E75E3A7B5597AC488A1B40066042602BCD306C6C282F52CB5F75EFD3A0BF9C666364553D38E8EF3TDC6J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Положением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Банка России от 15.07.2020 года № 729-П «О методике определения собственных средств (капитала) и обязательных нормативов,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надбавок к нормативам достаточности капитала, числовых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значениях обязательных нормативов и размерах (лимитах) открытых валютных позиций банковских групп» незначительно, на             29 877 млн рублей (-5,15%), снизились по сравнению с аналогичным показателем на 01.01.2024 года и составили 550 039 млн рублей.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Рентабельность капитала на 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1.202</w:t>
      </w:r>
      <w:r>
        <w:rPr>
          <w:rFonts w:ascii="Times New Roman" w:hAnsi="Times New Roman" w:cs="Times New Roman"/>
          <w:sz w:val="24"/>
          <w:szCs w:val="24"/>
        </w:rPr>
        <w:t xml:space="preserve">5 составила 13,2% и по сравнению с данными на 01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1.202</w:t>
      </w:r>
      <w:r>
        <w:rPr>
          <w:rFonts w:ascii="Times New Roman" w:hAnsi="Times New Roman" w:cs="Times New Roman"/>
          <w:sz w:val="24"/>
          <w:szCs w:val="24"/>
        </w:rPr>
        <w:t xml:space="preserve">4 значительно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220 </w:t>
      </w: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азисных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ункта,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увеличилась,</w:t>
      </w:r>
      <w:r>
        <w:rPr>
          <w:rFonts w:ascii="Times New Roman" w:hAnsi="Times New Roman" w:cs="Times New Roman"/>
          <w:sz w:val="24"/>
          <w:szCs w:val="24"/>
        </w:rPr>
        <w:t xml:space="preserve"> что связанн</w:t>
      </w:r>
      <w:r>
        <w:rPr>
          <w:rFonts w:ascii="Times New Roman" w:hAnsi="Times New Roman" w:cs="Times New Roman"/>
          <w:sz w:val="24"/>
          <w:szCs w:val="24"/>
        </w:rPr>
        <w:t xml:space="preserve">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чистой </w:t>
      </w:r>
      <w:r>
        <w:rPr>
          <w:rFonts w:ascii="Times New Roman" w:hAnsi="Times New Roman" w:cs="Times New Roman"/>
          <w:sz w:val="24"/>
          <w:szCs w:val="24"/>
        </w:rPr>
        <w:t xml:space="preserve">прибыли в отчетном периоде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Рост ключевой ставки способствовал росту процентного дохода по причине высокой доли субсидируемых кредитов по плавающей ставке, в том числе сектора АПК. Рост процентных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расходов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расход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ст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рахование вкладов при этом носил опережающий характер вследствие более существенного, чем изменение ключевой ставки, роста депозитных ставок в рублях для юридических лиц и физических лиц. Небольшое увеличение ЧПД до расходов по кредитным убыткам связано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опережающим ростом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LDR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(отношения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кредитов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к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средств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клиентов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величению прибыли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существенной степени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способствовал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рост доходов от валютной переоценки вследствие ослабления рубля в течение 2024 г. и снижение расходов от кредитных убытков.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Поскольку Банк не имеет подконтрольных организаций, имеющих для него существенное значение, информация по п.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1.5,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1.6, 1.7.1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-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1.7.3 раскрывается в отношении Банка на основе бухгалтерской (финансовой) отчетности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за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202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4 год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Сведения об основных поставщиках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основных поставщиках Эмитента, объем и (или) доля поставок которых в 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бъеме поставок сырья и товаров (работ, услуг) имеет существенное значение на 01.01.2025,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также иные поставщики, поставки которых, по мнению эмитента, имеют для эмитента существенное значение в силу иных причин, факторов или обстоятельств:</w:t>
      </w:r>
      <w:r>
        <w:rPr>
          <w:rFonts w:ascii="Times New Roman" w:hAnsi="Times New Roman" w:cs="Times New Roman"/>
          <w:b/>
          <w:bCs/>
          <w:i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Определенный Эмитентом уровень (количественный критерий) существенности объема и (или) доли поставок основного поставщика, составляет 10 процентов от общего объема поставок сырья и товаров (работ, услуг).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Поставщики, объем и (или) доля поставок которых в объеме поставок сырья и товаров (работ, услуг) превышает 10 процентов от общего объема, имеющие существенное значение для Эмитента, отсутствуют.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ные поставщики, поставки которых, по мнению эмитента, имеют для Эмитента существенное значение в силу иных причин, факторов или обстоятельств отсутствуют.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Сведения об основных дебиторах эмитента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Сведения об основных дебиторах эмитента, доля задолженности которых в объеме дебиторской задолженности на 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имеет для эмитента существенное значение, а также об иных дебиторах, которые, по мнению эмитента, имеют для эмитента существенное значение в силу иных причин, факторов или обстоятельств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i/>
        </w:rPr>
      </w:r>
      <w:r>
        <w:rPr>
          <w:rFonts w:ascii="Times New Roman" w:hAnsi="Times New Roman" w:cs="Times New Roman"/>
          <w:b/>
          <w:i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Определенный Эмитентом уровень существенности дебиторской задолженности, приходящейся на долю основного дебитора, составляет 10 процентов от общей суммы дебиторской задолженности на дату окончания соответствующего отчетного периода.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Дебиторы, требования к которым превышают 10 процентов от общей суммы дебиторской задолженности, имеющие существенное значение для Эмитента, отсутствуют.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Иные дебиторы, которые имеют существенное значение в силу иных причин, факторов или 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Сведения об обязательствах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1.7.1. Сведения об основных кредиторах эмитента 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cs="Times New Roman"/>
          <w:b/>
          <w:bCs/>
          <w:i/>
          <w:szCs w:val="24"/>
          <w14:ligatures w14:val="non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основных кредито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рах эмитента, доля задолженности которым в объеме кредиторской задолженности эмитента (включая торговую кредиторскую задолженность, прочую кредиторскую задолженность, кредиты и займы (краткосрочные, долгосрочные) на 01.01.2025 имеет существенн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ое значение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 также об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иных кредиторах, которые, по мнению эмитента, имеют для эмитента существенное значение в силу иных причин, факторов или обстоятельств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i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Определенный Эмитентом уровень существенности кредиторской задолженности, приходящейся на долю основного кредитора составляет 10 процентов от общей суммы кредиторской задолженности на дату окончания соответствующего отчетного периода.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Кредиторы, требования которых превышают 10 процентов от общей суммы кредиторской задолженности, имеющие существенное значение для Эмитента, отсутствуют.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Иные кредиторы, которые имеют существенное значение в силу иных причин, факторов или 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ar154"/>
      <w:bookmarkEnd w:id="12"/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1.7.2. Сведения об обязательствах эмитента из предоставленного обеспечения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размере обеспечения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(в том числе в форме залога, поручительства, независимой гарантии)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предоставленного эмитентом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Style w:val="1177"/>
        <w:tblW w:w="8428" w:type="dxa"/>
        <w:jc w:val="center"/>
        <w:tblLook w:val="04A0" w:firstRow="1" w:lastRow="0" w:firstColumn="1" w:lastColumn="0" w:noHBand="0" w:noVBand="1"/>
      </w:tblPr>
      <w:tblGrid>
        <w:gridCol w:w="562"/>
        <w:gridCol w:w="5995"/>
        <w:gridCol w:w="1871"/>
      </w:tblGrid>
      <w:tr>
        <w:trPr>
          <w:jc w:val="center"/>
        </w:trPr>
        <w:tblPrEx/>
        <w:tc>
          <w:tcPr>
            <w:tcW w:w="562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995" w:type="dxa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млн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jc w:val="center"/>
        </w:trPr>
        <w:tblPrEx/>
        <w:tc>
          <w:tcPr>
            <w:tcW w:w="562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95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  <w:trHeight w:val="224"/>
        </w:trPr>
        <w:tblPrEx/>
        <w:tc>
          <w:tcPr>
            <w:tcW w:w="562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95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Общий размер предоставленного эмитентом обеспечения, в том числе в форме залога, поручительства, независимой гарантии*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65 559,8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blPrEx/>
        <w:tc>
          <w:tcPr>
            <w:tcW w:w="562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95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аккредитивы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noWrap w:val="false"/>
            <w:textDirection w:val="lrTb"/>
            <w:vAlign w:val="center"/>
          </w:tcPr>
          <w:p>
            <w:pPr>
              <w:jc w:val="center"/>
            </w:pPr>
            <w:r>
              <w:t xml:space="preserve">0</w:t>
            </w:r>
          </w:p>
        </w:tc>
      </w:tr>
      <w:tr>
        <w:trPr>
          <w:jc w:val="center"/>
          <w:trHeight w:val="70"/>
        </w:trPr>
        <w:tblPrEx/>
        <w:tc>
          <w:tcPr>
            <w:tcW w:w="562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95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гарантии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65 559,8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 xml:space="preserve">*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кроме банков - кредитных организаций и ФЛ</w:t>
      </w:r>
      <w:r>
        <w:rPr>
          <w:rFonts w:ascii="Times New Roman" w:hAnsi="Times New Roman" w:cs="Times New Roman"/>
          <w:color w:val="000000"/>
          <w:sz w:val="20"/>
          <w:szCs w:val="24"/>
        </w:rPr>
      </w:r>
      <w:r>
        <w:rPr>
          <w:rFonts w:ascii="Times New Roman" w:hAnsi="Times New Roman" w:cs="Times New Roman"/>
          <w:color w:val="000000"/>
          <w:sz w:val="20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овершенных эмитентом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сделки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предоставлению такого обеспечения, имеющи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эмитента существенное значение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Сделки по предоставлению обеспечения, имеющие существенное </w:t>
      </w:r>
      <w:r>
        <w:rPr>
          <w:rFonts w:ascii="Times New Roman" w:hAnsi="Times New Roman" w:cs="Times New Roman"/>
          <w:sz w:val="24"/>
          <w:szCs w:val="24"/>
        </w:rPr>
        <w:t xml:space="preserve">для Эмитента </w:t>
      </w:r>
      <w:r>
        <w:rPr>
          <w:rFonts w:ascii="Times New Roman" w:hAnsi="Times New Roman" w:cs="Times New Roman"/>
          <w:sz w:val="24"/>
          <w:szCs w:val="24"/>
        </w:rPr>
        <w:t xml:space="preserve">значение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предоставлена на основе бухгалтерской (финансовой) отчетности Эмитента, так как прочие организации группы эмитента не предоставляют обеспечение по обязательствам третьих лиц.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209"/>
      <w:bookmarkEnd w:id="14"/>
      <w:r>
        <w:rPr>
          <w:rFonts w:ascii="Times New Roman" w:hAnsi="Times New Roman" w:cs="Times New Roman"/>
          <w:b/>
          <w:sz w:val="24"/>
          <w:szCs w:val="24"/>
        </w:rPr>
        <w:t xml:space="preserve">1.7.3. Сведения о прочих существенных обязательствах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Любые обязательства, которые, по мнению эмитента, могут существенным образом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воздействовать на финансовое положение эмитента, в том числе на ликвидность, источники финансирования и условия их использования, результаты деятельности и расходы, с описанием факторов, при которых указанные обязательства могут повлечь такое воздействие: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Определенный Эмитентом уровень существенности п</w:t>
      </w:r>
      <w:r>
        <w:rPr>
          <w:rFonts w:ascii="Times New Roman" w:hAnsi="Times New Roman" w:cs="Times New Roman"/>
          <w:sz w:val="24"/>
          <w:szCs w:val="24"/>
        </w:rPr>
        <w:t xml:space="preserve">рочих о</w:t>
      </w:r>
      <w:r>
        <w:rPr>
          <w:rFonts w:ascii="Times New Roman" w:hAnsi="Times New Roman" w:cs="Times New Roman"/>
          <w:sz w:val="24"/>
          <w:szCs w:val="24"/>
        </w:rPr>
        <w:t xml:space="preserve">бязательств</w:t>
      </w:r>
      <w:r>
        <w:rPr>
          <w:rFonts w:ascii="Times New Roman" w:hAnsi="Times New Roman" w:cs="Times New Roman"/>
          <w:sz w:val="24"/>
          <w:szCs w:val="24"/>
        </w:rPr>
        <w:t xml:space="preserve"> составляет 10 процентов от </w:t>
      </w:r>
      <w:r>
        <w:rPr>
          <w:rFonts w:ascii="Times New Roman" w:hAnsi="Times New Roman" w:cs="Times New Roman"/>
          <w:sz w:val="24"/>
          <w:szCs w:val="24"/>
        </w:rPr>
        <w:t xml:space="preserve">совокупной величины всех обязательств Банка</w:t>
      </w:r>
      <w:r>
        <w:rPr>
          <w:rFonts w:ascii="Times New Roman" w:hAnsi="Times New Roman" w:cs="Times New Roman"/>
          <w:sz w:val="24"/>
          <w:szCs w:val="24"/>
        </w:rPr>
        <w:t xml:space="preserve"> на дату окончания соответствующего отчетного периода.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о</w:t>
      </w:r>
      <w:r>
        <w:rPr>
          <w:rFonts w:ascii="Times New Roman" w:hAnsi="Times New Roman" w:cs="Times New Roman"/>
          <w:sz w:val="24"/>
          <w:szCs w:val="24"/>
        </w:rPr>
        <w:t xml:space="preserve">бязательства,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части привлеченных средств клиентов, которые составляют 10 и более процентов от совокупной величины всех обязательств Банка, </w:t>
      </w:r>
      <w:r>
        <w:rPr>
          <w:rFonts w:ascii="Times New Roman" w:hAnsi="Times New Roman" w:cs="Times New Roman"/>
          <w:sz w:val="24"/>
          <w:szCs w:val="24"/>
        </w:rPr>
        <w:t xml:space="preserve">которые</w:t>
      </w:r>
      <w:r>
        <w:rPr>
          <w:rFonts w:ascii="Times New Roman" w:hAnsi="Times New Roman" w:cs="Times New Roman"/>
          <w:sz w:val="24"/>
          <w:szCs w:val="24"/>
        </w:rPr>
        <w:t xml:space="preserve">, по мнению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митента, могут существенным образом воздействовать на финансовое положение </w:t>
      </w:r>
      <w:r>
        <w:rPr>
          <w:rFonts w:ascii="Times New Roman" w:hAnsi="Times New Roman" w:cs="Times New Roman"/>
          <w:sz w:val="24"/>
          <w:szCs w:val="24"/>
        </w:rPr>
        <w:t xml:space="preserve">Эмитента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Par212"/>
      <w:bookmarkEnd w:id="15"/>
      <w:r>
        <w:rPr>
          <w:rFonts w:ascii="Times New Roman" w:hAnsi="Times New Roman" w:cs="Times New Roman"/>
          <w:b/>
          <w:sz w:val="24"/>
          <w:szCs w:val="24"/>
        </w:rPr>
        <w:t xml:space="preserve">1.8. Сведения о перспективах развития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Стратегия дальнейшего развития эмитента (группы эмитента) не менее чем на год: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Наблюдательный совет АО «Россельхозбанк» 15 октября 2020 года утвердил Стратегию развития Банка до 2025 года. Реализация Стратегии позволит                                               АО «Россельхозбанк» и даль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ше эффективно решать государственные задачи в сфере АПК и других приоритетных отраслей экономики, обеспечивать устойчивое развитие и конкурентоспособность Банка, соблюдать нормативные требования регулятора, а также достигать целевых уровней рентабельности.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Целевой облик Банка к 2025 году определяется двумя стратегическими целями.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 «Опорный банк для АПК и сельских территорий».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рамках достижения данной стратеги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ческой цели Банк сохранит ведущие позиции в кредитовании АПК и статус проводника мер государственной поддержки АПК, обеспечивая комплексный мультипликативный эффект для АПК и смежных отраслей экономики и способствуя достижению национальных целей, поставлен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ных Президентом Российской Федерации, задач Доктрины продовольственной безопасности, Стратегии развития АПК до 2030 года, Государственной программы развития сельского хозяйства, профильных для развития АПК национальных проектов и государственных программ.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 будет содействовать выполнению задач Стратегии АПК до 2030 года, направленных на повышение уровня инвестиций в основной капитал, рост конкурентоспособности продукции АПК, а также уровня технологического развития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цифровизации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отрасли, поддержку предпринимательства в сельской местности, а также сельского населения, увеличение предложения и качества жилья на селе.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 закрепит за собой статус банка первого выбора для сложных сделок в АПК (выход на долговые рынки, M&amp;A, мезонинное финансирование) и будет принимать активное участие в дальнейшей консолидации отрасли и поддержке корпоративного бизнеса.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 упростит доступ аграриев, включая фермеров, к передовым агротехнологическим решениям. Банк будет обеспечивать 30% потребностей АПК в финансовых ресурсах, в том числе 30% в льготном кредитовании, и 70% потребностей в финансировании сезонных работ.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 продолжит расширять льготное кредитование жителей сельской местности, что позволит повысить уровень и каче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ство жизни на селе. Рост доступности финансовых услуг будет обеспечен с помощью удобных для клиентов и экономически эффективных форматов обслуживания, все целевые продукты будут доступны субъектам МСП и населению в том числе в современных цифровых каналах.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Группа Банка выходит за рамки классической финансовой деятельности и развивает специализированные нефинансовые сервисы и направления деятельности, формирующие комфортную среду для приоритетных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клиентских сегментов, среди которых в первую очередь выделяются компании МСБ в АПК, фермеры, экспортеры продукции АПК, жители сельских территорий и студенты аграрных вузов. Для реализации проектов в данном направлении разработана и внедряется стратегическ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ая концепция «Больше, чем Банк». Россельхозбанк считает своей ключевой целью быть банком первого выбора для клиентов АПК, содействуя исполнению Стратегии АПК, программы «Комплексное развитие сельских территорий» и реализуя социальную ответственность Банка.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2. «Эффективный конкурентный высокотехнологичный финансовый институт».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результате достижения данной стратегической цели Банк повысит финансовую устойчивость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доходность за счет диверсифицированных источников фондирования, качественного кредитного портфеля и операционной эффективности, что обеспечит стабильную ежегодную генерацию капитала за счет прибыли и восстановление его до уровня регуляторного в 2025 году.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Ускоренная системная цифровая трансформация, начатая Банком в 2019 году, будет способствовать развитию Банка как высокотехнологичного цифрового банка благодаря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использованию передовых инструментов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цифровизации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процессов взаимодействия с клиентами и поддерживающих процессов.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версификация бизнеса Банка будет осуществляться за счет расширения продуктовой линейки, развития системы кросс-продаж, в том числе при участии дочерних организаций Банка, отвечающих за отдельные бизнес-направления (страхование, управление активами, фактори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нг, лизинг и др.). В условиях продолжающегося снижения процентной маржи на банковском рынке Банк будет активно продвигать транзакционные продукты и сервисы и повышать долю непроцентных доходов в общей структуре доходов в разрезе всех клиентских сегментов.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Важной задачей Банка является сохранение высокого качества кредитного портфеля. Банк актуализирует подходы к оценке рисков, внедрит продвинутые рейтинговые модели для взвешенной оценки и формирования портфеля качественных и ответственных заемщиков.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Основными приоритетами станут рост качества, удобства и скорости предоставления продуктов и сервисов, удовлетворение растущих требований к персонализации и формирование новых стандартов клиентского опыта на уровне лучших рыночных практик. Банк сформируе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 комплексное универсальное ценностное предложение для широкого круга текущих и потенциальных клиентов. Важной частью новой бизнес-модели станет развитие Группы Банка и получение синергетических эффектов на основе создаваемой экосистемы продуктов и услуг.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Необходимым условием для роста и развития Банка будет фундаментальная цифровая трансформация, реализуемая в соответствии со Стратегией цифровой трансформации Банка до 2024 года. Основные направления цифровой трансформации: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импортозамещение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обеспечение информационной безопасности, внедрение цифровых решений для клиентов, развитие цифровой инфраструктуры, организационная трансформация и адаптация модели управления, развитие кадров, компетенций и цифровой культуры.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Трансформация ИТ-инфраструктуры и ИТ-ландшафта обеспечит максимальную скорость внедрения изменений и выведения новых решений на рынок.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Профессиональное развитие и рост уровня вовлеченности команды, применение современных подходов к решению комплексных задач позволят Банку обеспечить высокий уровень цифрового сервиса.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1.9. Сведения о рисках, связанных с деятельностью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был создан для осуществления государственной политики по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кредитов и других банковских услуг аграрному сектору, поэтому его кредитный портфель характеризуется высокой степенью концентрации в данной отрасли. Фокус на предоставление банковских услуг сельскохозяйственным товаропроизводителям не позволяет полностью </w:t>
      </w:r>
      <w:r>
        <w:rPr>
          <w:rFonts w:ascii="Times New Roman" w:hAnsi="Times New Roman" w:cs="Times New Roman"/>
          <w:sz w:val="24"/>
          <w:szCs w:val="24"/>
        </w:rPr>
        <w:t xml:space="preserve">диверсифицировать кредитный портфель с целью минимизации рисков. В результате высокой доли кредитов, выданных предприятиям аграрного сектора, финансовые результаты Банка могут значительно зависеть от сезонных и циклических изменений в сельскохозяйственном </w:t>
      </w:r>
      <w:r>
        <w:rPr>
          <w:rFonts w:ascii="Times New Roman" w:hAnsi="Times New Roman" w:cs="Times New Roman"/>
          <w:sz w:val="24"/>
          <w:szCs w:val="24"/>
        </w:rPr>
        <w:t xml:space="preserve">секторе, снижения цен на продовольствие товары или увеличения издержек производства. Кроме того, суровые погодные условия, стихийные бедствия и другие неблагоприятные события могут оказать существенное влияние на способность заемщиков обслуживать кредиты.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1.9.1</w:t>
      </w:r>
      <w:r>
        <w:rPr>
          <w:rFonts w:ascii="Times New Roman" w:hAnsi="Times New Roman" w:cs="Times New Roman"/>
          <w:b/>
          <w:sz w:val="24"/>
          <w:szCs w:val="24"/>
        </w:rPr>
        <w:t xml:space="preserve">. Банковские риски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Функционирование системы управления рисками в Группе основывается на следующих внутренних документах: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Стратегия управления рисками и капиталом Группы АО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которая определяет основные принципы организации в Группе системы управления рисками.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Политика управления рисками Группы АО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которая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детализирует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организации системы управления рисками в Группе;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системе управления рисками выделяются следующие риски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</w:t>
      </w:r>
      <w:r>
        <w:rPr>
          <w:rFonts w:ascii="Times New Roman" w:hAnsi="Times New Roman" w:cs="Times New Roman"/>
          <w:b/>
          <w:sz w:val="24"/>
          <w:szCs w:val="24"/>
        </w:rPr>
        <w:t xml:space="preserve">.1.1. Кредитный риск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управляет кредитным риском – ри</w:t>
      </w:r>
      <w:r>
        <w:rPr>
          <w:rFonts w:ascii="Times New Roman" w:hAnsi="Times New Roman" w:cs="Times New Roman"/>
          <w:sz w:val="24"/>
          <w:szCs w:val="24"/>
        </w:rPr>
        <w:t xml:space="preserve">ском возникновения потерь (убытков) вследствие неисполнения, несвоевременного либо неполного исполнения контрагентом и/или третьей стороной по договору финансовых обязательств в соответствии с условиями </w:t>
      </w:r>
      <w:r>
        <w:rPr>
          <w:rFonts w:ascii="Times New Roman" w:hAnsi="Times New Roman" w:cs="Times New Roman"/>
          <w:sz w:val="24"/>
          <w:szCs w:val="24"/>
        </w:rPr>
        <w:t xml:space="preserve">договора (в т.ч. по операциям на финансовых рынках).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кредитного риска Группа включает: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кредитный риск контрагента – риск дефолта контрагента до завершения расчетов по операциям с производными финансовыми инструментами, сделкам РЕПО и аналогичным сделкам;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остаточный кредитный риск – может выражаться в невозможности реализовать принятое обеспечение, отказе или отсрочке платежа по независимым гарантиям, а также в использовании документов, составленных ненадлежащим образом;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риск секъюритизации – кредитный риск, возникающий по сделкам секьюритизации, в которых Группа (Участники Группы) является оригинатором (инициатором), спонсором или инвестором.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tabs>
          <w:tab w:val="left" w:pos="1276" w:leader="none"/>
        </w:tabs>
        <w:spacing w:before="0"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ключевым методам оценки кредитного риска, применяемых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Группе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относится методология определения вероятности неисполнения клиентом своих обязательств перед Банком /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компаниями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Группы по результатам анализа финансовой информации и финансовых факторов, и нефинансовых, транзакционных факторов, предупреждающих сигналов, влияния группы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связанных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компаний и ручной (экспертной) корректировки рейтинга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При этом уровень рейтинга заемщика учитывается при определении стоимостных условий кредитных сделок.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tabs>
          <w:tab w:val="left" w:pos="1276" w:leader="none"/>
        </w:tabs>
        <w:spacing w:before="0"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Для целей синхронизации подходов (методов) рейтингования и кредитного анализа в компаниях Группы используется следующее: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единой Мастер-шкалы рейтингов, в том числе схемы сопоставления внутреннего рейтинга и оценки вероятности выхода в дефолт;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единого порядка управления внутренними моделями рейтингования в Группе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методология в части подходов к оценке кредитного риска.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управления кредитным риском Группа: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принимает кредитный риск с учетом оценки структуры сделки и всей доступной информации о кредитном качестве контрагента / группы контрагентов;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 инструменты, снижающие кредитный риск (в т.ч. принятие ликвидного обеспечения, поручительств и гарантий), и ценообразование с учетом принимаемого кредитного риска;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лимиты кредитного риска на отдельных контрагентов и группы контрагентов, объединенных по наличию экономической и/или юридической связи;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постоянной основе проводит мониторинг уровня принятого кредитного риска.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</w:t>
      </w:r>
      <w:r>
        <w:rPr>
          <w:rFonts w:ascii="Times New Roman" w:hAnsi="Times New Roman" w:cs="Times New Roman"/>
          <w:sz w:val="24"/>
          <w:szCs w:val="24"/>
        </w:rPr>
        <w:t xml:space="preserve">ление кредитным риском в Группе осуществляется Правлением, Комитетом по управлению рисками, кредитными комитетами Банка, Комитетом по работе с проблемной задолженностью, а также отдельными должностными лицами в рамках предоставленных им полномочий. Оценка </w:t>
      </w:r>
      <w:r>
        <w:rPr>
          <w:rFonts w:ascii="Times New Roman" w:hAnsi="Times New Roman" w:cs="Times New Roman"/>
          <w:sz w:val="24"/>
          <w:szCs w:val="24"/>
        </w:rPr>
        <w:t xml:space="preserve">кредитных рисков, независимая от бизнес-подразделений, проводится профильными подразделениями по управлению рисками (Департаментом рисков, службами оценки и контроля рисков региональных филиалов Банка, Службами управления рисками прочих участников Группы).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Уполномоченными органами Банка утверждены внутренние документы, которые содержат формализованное описание процедур и методик оценки кредитных рисков и определяют порядок предоставления и сопровождения кредитных продуктов.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принимает риск кредитной концентрации в связи с кредитованием профильного клиентского сегмента (предприятий АПК и смежных отраслей экономики) и управляет им посредством следующих инструментов: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кредитование полного цикла производства и реализации сельскохозяйственной продукции (производство, хранение, переработка и сбыт конечному потребителю);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кредитование заемщиков с наличием широкого продуктового портфеля;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диверсификация кредитного портфеля по регионам;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диверсификация совокупного кредитного портфеля за счет кредитования иных отраслей экономики.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Кредитный риск </w:t>
      </w:r>
      <w:r>
        <w:rPr>
          <w:rFonts w:ascii="Times New Roman" w:hAnsi="Times New Roman" w:cs="Times New Roman"/>
          <w:sz w:val="24"/>
          <w:szCs w:val="24"/>
        </w:rPr>
        <w:t xml:space="preserve">признан</w:t>
      </w:r>
      <w:r>
        <w:rPr>
          <w:rFonts w:ascii="Times New Roman" w:hAnsi="Times New Roman" w:cs="Times New Roman"/>
          <w:sz w:val="24"/>
          <w:szCs w:val="24"/>
        </w:rPr>
        <w:t xml:space="preserve"> значимым для Группы.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.1.2. Рыночный риск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Рыночный риск – риск возникновения финансовых потерь (убытков) вследствие изменения текущей (справедливой) ст</w:t>
      </w:r>
      <w:r>
        <w:rPr>
          <w:rFonts w:ascii="Times New Roman" w:hAnsi="Times New Roman" w:cs="Times New Roman"/>
          <w:sz w:val="24"/>
          <w:szCs w:val="24"/>
        </w:rPr>
        <w:t xml:space="preserve">оимости долевых ценных бумаг (фондовый риск), процентных ставок (процентный риск), а также курсов иностранных валют и/или золота (валютный риск), учетных цен на драгоценные металлы (кроме золота) и/или котировок товарных форвардов/фьючерсов (товарный риск)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управляет рыночным риском с целью сохранения уровня принимаемого риска в рамках установленных ограничений, а также с целью минимизации финансовых потерь при реализации неблагоприятных событий.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анализа и оценки рыночного риска производится его регулярная количественная оценка на основе методологии VAR (Value at Risk) – статистической оценки максимальных потерь за определенный период времени при заданном уровне вероятности.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управляет рыночным риском путем: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установления и контроля структурных и позиционных лимитов, а также лимитов максимально допустимой величины потерь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(стоп-лосс),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диверсификации и хеджирования принимаемых рисков,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заблаговременного планирования и подготовки мероприятий, направленных на минимизацию финансовых потерь при возникновении неблагоприятных событий.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Рыночный риск включает в себя фондовый риск, валютный, товарный и процентный риски.</w:t>
      </w:r>
      <w:r>
        <w:rPr>
          <w:rFonts w:ascii="Times New Roman" w:hAnsi="Times New Roman" w:cs="Times New Roman" w:eastAsiaTheme="minorEastAsia"/>
          <w:highlight w:val="none"/>
          <w14:ligatures w14:val="none"/>
        </w:rPr>
      </w:r>
      <w:r>
        <w:rPr>
          <w:rFonts w:ascii="Times New Roman" w:hAnsi="Times New Roman" w:cs="Times New Roman" w:eastAsiaTheme="minorEastAsia"/>
          <w:highlight w:val="none"/>
          <w14:ligatures w14:val="none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Рыночны</w:t>
      </w:r>
      <w:r>
        <w:rPr>
          <w:rFonts w:ascii="Times New Roman" w:hAnsi="Times New Roman" w:cs="Times New Roman"/>
          <w:sz w:val="24"/>
          <w:szCs w:val="24"/>
        </w:rPr>
        <w:t xml:space="preserve">й риск </w:t>
      </w:r>
      <w:r>
        <w:rPr>
          <w:rFonts w:ascii="Times New Roman" w:hAnsi="Times New Roman" w:cs="Times New Roman"/>
          <w:sz w:val="24"/>
          <w:szCs w:val="24"/>
        </w:rPr>
        <w:t xml:space="preserve">признан</w:t>
      </w:r>
      <w:r>
        <w:rPr>
          <w:rFonts w:ascii="Times New Roman" w:hAnsi="Times New Roman" w:cs="Times New Roman"/>
          <w:sz w:val="24"/>
          <w:szCs w:val="24"/>
        </w:rPr>
        <w:t xml:space="preserve"> значимым для Группы.</w:t>
      </w:r>
      <w:r>
        <w:rPr>
          <w:rFonts w:ascii="Times New Roman" w:hAnsi="Times New Roman" w:cs="Times New Roman" w:eastAsiaTheme="minorEastAsia"/>
          <w:sz w:val="24"/>
          <w:szCs w:val="24"/>
        </w:rPr>
      </w:r>
      <w:r>
        <w:rPr>
          <w:rFonts w:ascii="Times New Roman" w:hAnsi="Times New Roman" w:cs="Times New Roman" w:eastAsiaTheme="minorEastAsia"/>
          <w:sz w:val="24"/>
          <w:szCs w:val="24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</w:r>
      <w:r>
        <w:rPr>
          <w:rFonts w:ascii="Times New Roman" w:hAnsi="Times New Roman" w:cs="Times New Roman" w:eastAsiaTheme="minorEastAsia"/>
          <w:sz w:val="24"/>
          <w:szCs w:val="24"/>
        </w:rPr>
      </w:r>
      <w:r>
        <w:rPr>
          <w:rFonts w:ascii="Times New Roman" w:hAnsi="Times New Roman" w:cs="Times New Roman" w:eastAsiaTheme="minorEastAsia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</w:t>
      </w:r>
      <w:r>
        <w:rPr>
          <w:rFonts w:ascii="Times New Roman" w:hAnsi="Times New Roman" w:cs="Times New Roman"/>
          <w:b/>
          <w:sz w:val="24"/>
          <w:szCs w:val="24"/>
        </w:rPr>
        <w:t xml:space="preserve">.1.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Процентный риск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Процентный риск – риск ухудшения финансового положения Группы вследствие снижения размера капитала, уровня доходов, стоимости активов в результате изменения процентных ставок на рынке.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источниками процентного риска являются: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Риск разрывов (гэп-риск) – риск, возникающий из-за несовпадения сроков изменения процентных ставок активов, пассивов, внебалансовых требований и обязательств Банка.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Базисный риск – риск, возникающий в случае, если процентные ставки по финансовым инструментам одинаковой срочности изменяются в зависимости от различных финансовых индексов. 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Риск кривой доходности – риск изменения наклона и/или формы кривой процентных ставок.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Риск опциональности – риск, проявляющийся при исполнении опционов (как непосредственно заключенных Банком, так и встроенных в банковские продукты), изменяющих велич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ину процентной ставки или сроки исполнения требований/обязательств по операции.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основных методов оценки процентного риска используются метод оценки разрывов между активами и обязательствами в </w:t>
      </w:r>
      <w:r>
        <w:rPr>
          <w:rFonts w:ascii="Times New Roman" w:hAnsi="Times New Roman" w:cs="Times New Roman"/>
          <w:sz w:val="24"/>
          <w:szCs w:val="24"/>
        </w:rPr>
        <w:t xml:space="preserve">различных валютах, чувствительными к изменению уровня процентных ставок (метод оценки разрывов по срокам), метод оценки изменения чистого процентного дохода. При этом используется ряд моделируемых допущений для распределения по срокам требований и обязател</w:t>
      </w:r>
      <w:r>
        <w:rPr>
          <w:rFonts w:ascii="Times New Roman" w:hAnsi="Times New Roman" w:cs="Times New Roman"/>
          <w:sz w:val="24"/>
          <w:szCs w:val="24"/>
        </w:rPr>
        <w:t xml:space="preserve">ьств без явного срока погашения, а также моделирование поведенческой опциональности в части досрочного погашения кредитов физических лиц и досрочного изъятия депозитов физических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Оцен</w:t>
      </w:r>
      <w:r>
        <w:rPr>
          <w:rFonts w:ascii="Times New Roman" w:hAnsi="Times New Roman" w:cs="Times New Roman"/>
          <w:sz w:val="24"/>
          <w:szCs w:val="24"/>
        </w:rPr>
        <w:t xml:space="preserve">ка процентного риска осуществляется с учетом действия риск-факторов при различных сценариях, охватывающих стандартные и более неблагоприятные рыночные условия (включая стрессовые ситуации и ситуации системного экономического кризиса, в том числе инфляция).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Группа проводит оценку проц</w:t>
      </w:r>
      <w:r>
        <w:rPr>
          <w:rFonts w:ascii="Times New Roman" w:hAnsi="Times New Roman" w:cs="Times New Roman"/>
          <w:sz w:val="24"/>
          <w:szCs w:val="24"/>
        </w:rPr>
        <w:t xml:space="preserve">ентного риска в разрезе банковской и торговой книг, основных валют и на уровне отдельных операций/сделок путем анализа возможного изменения потока платежей при изменении рыночных условий, финансового состояния и/или действий клиентов и контрагентов Группы.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подверженными процентному риску статьями финансовой отчетности Группы являются кредиты, ценные бумаги и клиентские средства.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принимает процентный риск в рамках установленных Правлением лимитов.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процентным риском осуществляется Правлением, Комитетом по управлению рисками, Комитетом по управлению активами и пассивами Банка, и профильными подразделениями Банка в рамках предоставленных им полномочий.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Процентный риск </w:t>
      </w:r>
      <w:r>
        <w:rPr>
          <w:rFonts w:ascii="Times New Roman" w:hAnsi="Times New Roman" w:cs="Times New Roman"/>
          <w:sz w:val="24"/>
          <w:szCs w:val="24"/>
        </w:rPr>
        <w:t xml:space="preserve">признан</w:t>
      </w:r>
      <w:r>
        <w:rPr>
          <w:rFonts w:ascii="Times New Roman" w:hAnsi="Times New Roman" w:cs="Times New Roman"/>
          <w:sz w:val="24"/>
          <w:szCs w:val="24"/>
        </w:rPr>
        <w:t xml:space="preserve"> значимым для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</w:t>
      </w:r>
      <w:r>
        <w:rPr>
          <w:rFonts w:ascii="Times New Roman" w:hAnsi="Times New Roman" w:cs="Times New Roman"/>
          <w:b/>
          <w:sz w:val="24"/>
          <w:szCs w:val="24"/>
        </w:rPr>
        <w:t xml:space="preserve">.1.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 Риск ликвидности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 потери ликвидности – риск возникновения у Группы потерь (убытков) вследствие неспособности участников Группы обеспечить исполнение своих финансовых обязательств в срок в полном объеме.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подвержена данному риску в связи с ежедневной необходимостью использования имеющихся денежных средств для расчетов по счетам клиентов, при наступлении срока погашения депозитов, выда</w:t>
      </w:r>
      <w:r>
        <w:rPr>
          <w:rFonts w:ascii="Times New Roman" w:hAnsi="Times New Roman" w:cs="Times New Roman"/>
          <w:sz w:val="24"/>
          <w:szCs w:val="24"/>
        </w:rPr>
        <w:t xml:space="preserve">че кредитов (в том числе в случае несвоевременного исполнения финансовых обязательств одним или несколькими контрагентами Банка или возникновения непредвиденной необходимости немедленного и единовременного исполнения Группой своих финансовых обязательств).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риском потери ликвидности в Группе осуществляется решениями органов управления Банка, </w:t>
      </w:r>
      <w:r>
        <w:rPr>
          <w:rFonts w:ascii="Times New Roman" w:hAnsi="Times New Roman" w:cs="Times New Roman"/>
          <w:sz w:val="24"/>
          <w:szCs w:val="24"/>
        </w:rPr>
        <w:t xml:space="preserve">рабочих коллегиальных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и отдельных должностных лиц в соответствии с предоставленными им полномочиями.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основных методов анализа и оценки риска потери ликвидности Группа использует: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ежедневный анализ платежной позиции на основе движения денежных средств,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 и оценку разрывов в сроках погашения требований и обязательств Банка (ГЭП-анализ), 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 и оценку фактических значений и динамики внутренних показателей риска потери ликвидности;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 динамики и прогноз обязательных нормативов ликвидности Банка России; 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стресс-тестирование. 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управляет риском потери ликвидности путем: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планирования структуры активов и пассивов,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установления и контроля лимитов и показателей риска потери ликвидности (как внешних, установленных Банком России, так и внутренних, рассчитываемых самим Банком),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формирования запаса ликвидности,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заблаговременного планирования и подготовки мероприятий, направленных на поддержание и восстановление ликвидности при возникновении неблагоприятных событий.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 потери ликвидности </w:t>
      </w:r>
      <w:r>
        <w:rPr>
          <w:rFonts w:ascii="Times New Roman" w:hAnsi="Times New Roman" w:cs="Times New Roman"/>
          <w:sz w:val="24"/>
          <w:szCs w:val="24"/>
        </w:rPr>
        <w:t xml:space="preserve">признан</w:t>
      </w:r>
      <w:r>
        <w:rPr>
          <w:rFonts w:ascii="Times New Roman" w:hAnsi="Times New Roman" w:cs="Times New Roman"/>
          <w:sz w:val="24"/>
          <w:szCs w:val="24"/>
        </w:rPr>
        <w:t xml:space="preserve"> значимым для Группы.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</w:t>
      </w:r>
      <w:r>
        <w:rPr>
          <w:rFonts w:ascii="Times New Roman" w:hAnsi="Times New Roman" w:cs="Times New Roman"/>
          <w:b/>
          <w:sz w:val="24"/>
          <w:szCs w:val="24"/>
        </w:rPr>
        <w:t xml:space="preserve">.1.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 Операционный риск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Операционный риск - риск возникновения прямых и непрямых поте</w:t>
      </w:r>
      <w:r>
        <w:rPr>
          <w:rFonts w:ascii="Times New Roman" w:hAnsi="Times New Roman" w:cs="Times New Roman"/>
          <w:sz w:val="24"/>
          <w:szCs w:val="24"/>
        </w:rPr>
        <w:t xml:space="preserve">рь </w:t>
      </w:r>
      <w:r>
        <w:rPr>
          <w:rFonts w:ascii="Times New Roman" w:hAnsi="Times New Roman" w:cs="Times New Roman"/>
          <w:sz w:val="24"/>
          <w:szCs w:val="24"/>
        </w:rPr>
        <w:t xml:space="preserve">Банка/участника </w:t>
      </w:r>
      <w:r>
        <w:rPr>
          <w:rFonts w:ascii="Times New Roman" w:hAnsi="Times New Roman" w:cs="Times New Roman"/>
          <w:sz w:val="24"/>
          <w:szCs w:val="24"/>
        </w:rPr>
        <w:t xml:space="preserve">Группы в результате несовершенства или ошибочных внутренних процессов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Банка/участника </w:t>
      </w:r>
      <w:r>
        <w:rPr>
          <w:rFonts w:ascii="Times New Roman" w:hAnsi="Times New Roman" w:cs="Times New Roman"/>
          <w:sz w:val="24"/>
          <w:szCs w:val="24"/>
        </w:rPr>
        <w:t xml:space="preserve">Группы, действий персонала </w:t>
      </w:r>
      <w:r>
        <w:rPr>
          <w:rFonts w:ascii="Times New Roman" w:hAnsi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cs="Times New Roman"/>
          <w:sz w:val="24"/>
          <w:szCs w:val="24"/>
        </w:rPr>
        <w:t xml:space="preserve">участник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Группы и иных лиц, сбоев и недостатков информационных, технологических и иных систем, а также в результате реализации внешних событий.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операционным риском является составной частью общего процесса управления рисками в Группе.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целям управления операционным риском в Группе относятся: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выявление, оценка и реагирование на операционный риск, в т.ч. для предотвращения случаев реализации операционного риска;</w:t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снижение потерь от реализации операционного риска;</w:t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и контроль уровня операционного риска;</w:t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мероприятий по поддержанию операционного риска на уровне, не угрожающем финансовой устойчивости участников Группы и интересам клиентов и контрагентов;</w:t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работниками участников Группы внутренних документов Группы, описывающих систему управления операционного риска.</w:t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целей унификации управления операционным риском в Группе выделяются следующие виды ОР: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риск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информационной безопасности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(в т.ч. киберриск)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риск реализации угроз безопасности информации, которые обусловлены недостатками процессов обеспе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чения информационной безопасности, в т.ч. проведения технологических и других мероприятий, недостатками прикладного программного обеспечения автоматизированных систем и приложений, а также несоответствием указанных процессов деятельности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Группы;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риск информационных систем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риск отказов и (или) нарушения функционирования применяемых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участником Группы информационных систем и (или) несоответствия их функциональных возможностей и характеристик потребностям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Банка/участника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Группы;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правовой риск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риск возникновения 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Банка/участника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Группы убытков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вследствие нарушения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участником Группы и (или) 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контрагентами условий заключенных договоров, допускаемых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участником Группы правовых ошибок при осуществлении деятельности (например, неправильные юридические консультации или неверное составление документо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в, в том числе при рассмотрении спорных вопросов в судебных органах), несовершенства правовой системы (например, противоречивость законодательства, отсутствие правовых норм по регулированию отдельных вопросов, возникающих в деятельности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Банка/участника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Группы, нарушения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онтрагентами нормативных правовых актов, нахождения филиалов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 Группы, юридических лиц, в отношении которых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 Группы осуществляет контроль или значительное влияние, а также контрагентов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Группы под юрисдикцией различных государств;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иск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ошибок в управлении проектами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риск ошибок в управлении проектами, состоящий в недостатках и нарушениях организации процессов управления проектной деятельностью, направленных на изменение систем функционирования и поддержания работоспособности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 Группы;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риск ошибок в управленческих процессах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состоящий в недостатках и нарушениях внутренних процессов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 Группы, недостатках принятия решений по сделкам и операциям, внутрихозяйственной деятельности;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риск ошибок в процессах осуществления внутреннего контроля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состоящий в недостатках и нарушениях системы вн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утреннего контроля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 Группы, в т.ч. нарушениях правил внутреннего контроля в целях противодействия легализации (отмыванию) доходов, полученных преступным путем, и финансированию терроризма, нарушениях внутренних правил совершения операций и сделок;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модельный риск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риск ошибок процессов разработки, проверки, адаптации, приемки, применения методик количественных и качественных моделей оценки активов, рисков и иных показателей, используемых в принятии управленческих решений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 Группы;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риск потерь средств клиентов, контрагентов, работников и третьих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(не компенсированных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участником Группы) вследствие нарушения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участником Группы кодексов профессиональной этики, рыночных практик, правил поведения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участником Группы при продаже финансовых инструментов и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риск ошибок процесса управления персоналом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состоящий в недостатках и нарушениях внутренних процессов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 Группы в управлении персоналом, в т.ч. при подборе, найме, адаптации, увольнении, обеспечении безопасности и охраны труда, социальной поддержки, в системе вознаграждения и компенсации;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операционный риск платежной системы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риск оказания услуг платежной инфраструктуры, не соответствующий требова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ниям к оказанию услуг, вследствие возникновения у субъектов платежной системы сбоев, отказов и аварий в работе информационных и технологических систем, недостатков в организации и выполнении технологических и управленческих процессов, ошибок или противопра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вных действий персонала субъектов платежной системы либо вследствие воздействия событий, причины возникновения которых не связаны с деятельностью субъектов платежной системы, включая чрезвычайные ситуации, ошибочные или противоправные действия третьих лиц;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риск нарушения непрерывности деятельности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риск нарушения способности Банка/участника Группы подд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ерживать операционную устойчивость Банка/участника Группы, включающую обеспечение непрерывности осуществления критически важных процессов и критически важных операций, определенных Банком в соответствии с подпунктом 4.1.1 пункта 4.1 Положения Банка России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08.04.2020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716-П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требованиях к системе управления операционным риском в кредитной организации и банковской группе»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результате воздействия источников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операционных рисков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указанных в пункте 3.3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оложения Банка России № 716-П, а также изменений процессов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 Группы или действий третьих лиц, включая нарушения операционной надежности, требования к которой установлены Банком России в соответствии со статьей 57.5 Федерального закона № 86-ФЗ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риск внутренней безопасности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риск потерь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 Группы, связанных с преднамеренными действиями третьих лиц либо работников участника Группы, повлекших за собой причинение ущерба материальным и нематериальным активам или другому имуществу участника Группы (за исключением риска ИБ);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66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/>
        </w:rPr>
        <w:t xml:space="preserve">риск экономической безопасности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/>
        </w:rPr>
        <w:t xml:space="preserve"> – риск потерь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участника Группы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/>
        </w:rPr>
        <w:t xml:space="preserve">, связанных с противоправными действиями работников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участника Группы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/>
        </w:rPr>
        <w:t xml:space="preserve"> и (или) третьих лиц, связанных с ссудами, по которым возбуждены уголовные дела (за исключением риска ИБ)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ru-RU"/>
        </w:rPr>
        <w:t xml:space="preserve">В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bidi="ru-RU"/>
        </w:rPr>
        <w:t xml:space="preserve"> Группе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ru-RU"/>
        </w:rPr>
        <w:t xml:space="preserve"> определены следующие возможные способы реагирования на операционный риск: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уклонение от операционного риска, предусматривающее принятие обоснованного решения об отказе от вида деятельности, оказания соответствующего вида услуг и операций в связи с высоким уровнем операционного риска в них;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принятие операционного риска, предусматривающее обоснованное решение принять возможные потери от операционного риска в рамках установленного лимита потерь с процедурой контроля соблюдения лимита;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передача операционного риска, предусматривающая принятие обоснованного решения о страховании операционного риска, передаче операционного риска другой стороне - контрагенту и (или) клиенту (аутсорсинг);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планирование мероприятий, направленных на уменьшение негативного влияния операционного риска на качество процессов, величины совокупных потерь от реализации операционного риска.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bidi="ru-RU"/>
        </w:rPr>
        <w:t xml:space="preserve">Мероприятия, направленные на предотвращение и (или) снижение вероятности реализации событий операционного риска, а также на ограничение размера потерь вследствие реализации событий операционного риска, включают: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реализацию способов контроля, на этапах процессов, в которых выявлены операционн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ые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риск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;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изменение процессов и распределение обязанностей для обеспечения исключения конфликта интересов;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документирование результатов выполнения процедур контроля в процессах;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обеспечение контроля совершения операций и сделок;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исключение совершения неконтролируемых операций и сделок;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установление пороговых значений в отношении полномочий принятия решений и определения лимитов операционного риска, контроля за соблюдением полномочий;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реализацию элементов автоматизации участков процессов, при выполнении которых выявлен операционного риска по причине ошибок работников;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разработку модулей Плана действий, направленных на обеспечение непрерывности деятельности и (или) вос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становление деятельности Банка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в случае возникновения нестан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дартных и чрезвычайных ситуаций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критически важных процессов и функционирования ИТ-систем, включая автоматизированные системы, программные и /или программно-аппаратные средства, телекоммуникационное оборудован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ие и линии связи, эксплуатация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и использование которых обеспечивается Банком для осуществления процессов и операций, а также планов по обеспечению безопасности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и целостности информационных систем и информации, с учетом внешних факторов, влияющих на критически важный процесс и /или ИТ-систему, в случаях реализации операционного риска, включая систему быстрого реагирования на реализацию событий операционного риска;</w:t>
      </w:r>
      <w:r>
        <w:rPr>
          <w:rFonts w:ascii="Times New Roman" w:hAnsi="Times New Roman" w:cs="Times New Roman"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определение способа и порядка возмещения потерь от реализации событий операционного риска, например, с использованием переноса риска на участников финансового рынка, страхования;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юридическое обеспечение судебных процессов;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юридическое сопровождение процессов, договоров и документации и др.</w:t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6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Cs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другие мероприятия, разрабатываемые в зависимости от вида и характеристик процесс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в том числе мероприятия, разрабатываемые в целях управления риском нарушения непрерывности деятельности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bCs/>
          <w:sz w:val="24"/>
          <w:szCs w:val="24"/>
          <w:lang w:val="ru-RU" w:bidi="ru-RU"/>
          <w14:ligatures w14:val="none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bidi="ru-RU"/>
        </w:rPr>
        <w:t xml:space="preserve">Полномочия и функции участников системы управления операционным риском закреплены во внутренних документах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bidi="ru-RU"/>
        </w:rPr>
        <w:t xml:space="preserve">Банка/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bidi="ru-RU"/>
        </w:rPr>
        <w:t xml:space="preserve">участника Группы.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 w:eastAsiaTheme="minorEastAsia"/>
          <w:sz w:val="24"/>
          <w:szCs w:val="24"/>
        </w:rPr>
        <w:t xml:space="preserve">Операционный риск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признан</w:t>
      </w:r>
      <w:r>
        <w:rPr>
          <w:rFonts w:ascii="Times New Roman" w:hAnsi="Times New Roman" w:eastAsia="Times New Roman" w:cs="Times New Roman" w:eastAsiaTheme="minorEastAsia"/>
          <w:sz w:val="24"/>
          <w:szCs w:val="24"/>
        </w:rPr>
        <w:t xml:space="preserve"> значимым для Группы.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HAnsi"/>
          <w:b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1.9.1.6. </w:t>
      </w:r>
      <w:r>
        <w:rPr>
          <w:rFonts w:ascii="Times New Roman" w:hAnsi="Times New Roman" w:cs="Times New Roman" w:eastAsiaTheme="minorHAnsi"/>
          <w:b/>
          <w:sz w:val="24"/>
          <w:szCs w:val="24"/>
          <w:lang w:val="ru-RU" w:eastAsia="en-US"/>
        </w:rPr>
        <w:t xml:space="preserve">Риск концентрации</w:t>
      </w:r>
      <w:r>
        <w:rPr>
          <w:rFonts w:ascii="Times New Roman" w:hAnsi="Times New Roman" w:cs="Times New Roman" w:eastAsiaTheme="minorHAnsi"/>
          <w:b/>
          <w:sz w:val="24"/>
          <w:szCs w:val="24"/>
          <w:lang w:val="ru-RU" w:eastAsia="en-US"/>
        </w:rPr>
      </w:r>
      <w:r>
        <w:rPr>
          <w:rFonts w:ascii="Times New Roman" w:hAnsi="Times New Roman" w:cs="Times New Roman" w:eastAsiaTheme="minorHAnsi"/>
          <w:b/>
          <w:sz w:val="24"/>
          <w:szCs w:val="24"/>
          <w:lang w:val="ru-RU" w:eastAsia="en-US"/>
        </w:rPr>
      </w:r>
    </w:p>
    <w:p>
      <w:pPr>
        <w:pStyle w:val="1166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sz w:val="24"/>
          <w:szCs w:val="24"/>
          <w:lang w:val="ru-RU" w:eastAsia="en-US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ru-RU"/>
        </w:rPr>
        <w:t xml:space="preserve">Риск концен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ru-RU"/>
        </w:rPr>
        <w:t xml:space="preserve">трации – риск, возникающий в связи с подверженностью участника Группы крупным рискам, реализация которых может привести к значительным убыткам, способным создать угрозу для платежеспособности участника Группы и его способности продолжать свою деятельность.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eastAsia="en-US"/>
          <w14:ligatures w14:val="none"/>
        </w:rPr>
      </w:r>
    </w:p>
    <w:p>
      <w:pPr>
        <w:pStyle w:val="1166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lang w:val="ru-RU" w:eastAsia="en-US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ru-RU"/>
        </w:rPr>
        <w:t xml:space="preserve">Риск концентрации включает в себя следующие подвиды риска:</w:t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</w:p>
    <w:p>
      <w:pPr>
        <w:pStyle w:val="1166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lang w:val="ru-RU" w:eastAsia="en-US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ru-RU"/>
        </w:rPr>
        <w:t xml:space="preserve">риск отраслевой концентрации – риск, связанный с концентрацией кредитных требований к контрагентам в одном секторе экономики(отрасли);</w:t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</w:p>
    <w:p>
      <w:pPr>
        <w:pStyle w:val="1166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lang w:val="ru-RU" w:eastAsia="en-US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ru-RU"/>
        </w:rPr>
        <w:t xml:space="preserve">риск концентрации географической зоны – риск, связанный с концентрацией кредитных требований к контрагентам из одной географической зоны;</w:t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</w:p>
    <w:p>
      <w:pPr>
        <w:pStyle w:val="1166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lang w:val="ru-RU" w:eastAsia="en-US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ru-RU"/>
        </w:rPr>
        <w:t xml:space="preserve">риск концентрации финансовых инструментов – риск, связанный с концентрацией вложений в финансовые инструменты одного типа;</w:t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</w:p>
    <w:p>
      <w:pPr>
        <w:pStyle w:val="1166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sz w:val="24"/>
          <w:szCs w:val="24"/>
          <w:lang w:val="ru-RU" w:eastAsia="en-US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ru-RU"/>
        </w:rPr>
        <w:t xml:space="preserve">риск концентрации источников ликвидности – риск, связанный с зависимостью Группы от отдельных источников ликвидности.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eastAsia="en-US"/>
          <w14:ligatures w14:val="none"/>
        </w:rPr>
      </w:r>
    </w:p>
    <w:p>
      <w:pPr>
        <w:pStyle w:val="1166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lang w:val="ru-RU" w:eastAsia="en-US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ru-RU"/>
        </w:rPr>
        <w:t xml:space="preserve">В рамках управления риском концентрации Группа:</w:t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lang w:val="ru-RU" w:eastAsia="en-US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определяет систему лимитов, ограничивающих объем требований к крупнейшим контрагентам (группам контрагентов) и контрагентам, принадлежащим отдельным отраслям экономики и географическим регионам;</w:t>
      </w:r>
      <w:r>
        <w:rPr>
          <w:rFonts w:ascii="Times New Roman" w:hAnsi="Times New Roman" w:cs="Times New Roman"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проводит углубленный анализ крупнейших контрагентов и секторов экономики, в отношении которых выявлен риск концентрации;</w:t>
      </w:r>
      <w:r>
        <w:rPr>
          <w:rFonts w:ascii="Times New Roman" w:hAnsi="Times New Roman" w:cs="Times New Roman"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ограничивает объем вложений в инструменты, стоимость которых зависит от изменений общих факторов риска.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lang w:val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Риск концентрации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признан</w:t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 значимым для Группы.</w:t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1.9.1.7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 w:eastAsiaTheme="minorHAnsi"/>
          <w:b/>
          <w:sz w:val="24"/>
          <w:szCs w:val="24"/>
          <w:lang w:val="ru-RU" w:eastAsia="en-US"/>
        </w:rPr>
        <w:t xml:space="preserve">Комплаенс</w:t>
      </w:r>
      <w:r>
        <w:rPr>
          <w:rFonts w:ascii="Times New Roman" w:hAnsi="Times New Roman" w:cs="Times New Roman" w:eastAsiaTheme="minorHAnsi"/>
          <w:b/>
          <w:sz w:val="24"/>
          <w:szCs w:val="24"/>
          <w:lang w:val="ru-RU" w:eastAsia="en-US"/>
        </w:rPr>
        <w:t xml:space="preserve">-риск (регуляторный риск)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Комплаенс-риск (регуляторный риск) – риск возникновения у Группы убытков из-за несоблюдения законодательства Российской Федерации, нормативных актов Банка России, вн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утренних документов участников Группы, стандартов саморегулируемых организаций (если такие стандарты или правила являются обязательными для участников Группы), а также в результате применения санкций и/или иных мер воздействия со стороны надзорных органов.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Целями управления регуляторным риском Группы являются повышение эффективности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участников Группы, в первую очередь, в области развития финансово-кредитной системы агропромышленного комплекса Российской Федерации, защита интересов акционеров, кредиторов и вкладчиков участников Группы посредством минимизации регуляторного риска Группы.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Исходя из указанных целей, задачами управления регуляторным риском являются: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обеспечение соблюдения участников Группы законодательства РФ, нормативных актов Банка России, стандартов СРО (если такие стандарты или правила являются обязательными для участников Группы), внутренних документов участников Группы;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минимизация риска возникновения у участников Группы убытков из-за несоблюдения законодательства РФ, нормативных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актов Банка России, внутренних документов участников Группы, стандартов СРО (если такие стандарты или правила являются обязательными для участников Группы), а также в результате применения санкций и (или) иных мер воздействия со стороны надзорных органов.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К функциям по управлению регуляторным риском относятся: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выявление регуляторного риска;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учет событий, связанных с регуляторным риском, определение вероятности их возникновения и количественная оценка возможных последствий;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мониторинг регуляторного риска, в том числе анализ внедряемых участниками Группы новых банковских продуктов, услуг и планируемых методов их реализации на предмет наличия регуляторного риска;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направление рекомендаций по управлению регуляторным риском руководителям структурных подразделений участников Группы и органам управления участников Группы;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координация и участие в разработке комплекса мер, направленных на снижение уровня регуляторного риска в Группе;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мониторинг эффективности управления регуляторным риском;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разработка внутренних документов по управлению регуляторным риском;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информирование работников участников Группы по вопросам, связанным с управлением регуляторным риском;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выявление конфликтов интересов в деятельности участников Группы и работников участников Группы, разработка внутренних документов, направленных на минимизацию конфликта интересов;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анализ показателей динамики жалоб (обращений, заявлений) клиентов и анализ соблюдения участниками Группы прав клиентов;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анализ экономической целесообразности заключения Группой договоров с юридическими лицами и индивидуальными предпринимателями на оказание услуг и (или) выполнение работ, обеспечивающих осуществление участниками Группы банковских операций (аутсорсинг);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разработка внутренних документов, направленных на противодействие коммерческому подкупу и коррупции;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разработка внутренних документов и организация мероприятий, направленных на соблюдение правил корпоративного поведения, норм профессиональной этики;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взаимодействие с надзорными органами, саморегулируемыми организациями, ассоциациями и участниками финансовых рынков.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lang w:val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Регуляторный риск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признан</w:t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 значимым для Группы.</w:t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1.9.1.</w:t>
      </w:r>
      <w:r>
        <w:rPr>
          <w:rFonts w:ascii="Times New Roman" w:hAnsi="Times New Roman" w:cs="Times New Roman"/>
          <w:b/>
          <w:sz w:val="24"/>
          <w:szCs w:val="24"/>
        </w:rPr>
        <w:t xml:space="preserve">8.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Стратегический риск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Стратегический риск – риск неблагоприятного изменения результатов деятельности Группы вследствие принятия </w:t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ошибочных решений в процессе управления Группой, в том числе при разработке, утверждении и реализации стратегии развития Группы, ненадлежащем исполнении принятых решений, а также неспособности органов управления Группы учитывать изменения внешних факторов.</w:t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Управление стратегическим риском является частью системы управления рисками, в рамках которой оцениваются возможности Группы, определяются перспективные направления, новые тенденц</w:t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ии, конкурентные преимущества, а также планируются меры по достижению поставленных целей. В Группе функционирует специальное структурное подразделение, осуществляющее разработку и реализацию стратегических планов Группы.               В целях минимизации р</w:t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иска в Группе выстроена многоуровневая эффективная система стратегического планирования и контроля, позволяющая своевременно реагировать на внешние и внутренние вызовы, принимать необходимые управленческие решения и осуществлять корректирующие мероприятия.</w:t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В своей деятельности Банк руководствуется Страт</w:t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егией развития                                                 АО «Россельхозбанк» до 2025 года (далее – Стратегия), утвержденной Наблюдательным советом Банка 15 октября 2020 года, а также утверждает и актуализирует политики, положения, планы мероприятий и</w:t>
      </w: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 другие внутренние документы, охватывающие весь спектр перспективных и текущих задач развития Банка в существующей экономической среде. Указанные документы проходят утверждение согласно действующей в Банке процедуре и являются основой для его деятельности.</w:t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В рамках управления стратегическим риском Группа:</w:t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проводит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анализ конкурентной среды, рынка банковских услуг и перспективных направлений деятельности при формировании стратегии развития Банка;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проводит мониторинг достаточности ресурсов для достижения поставленных целей и задач;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осуществляет контроль реализации Стратегии развития Банка (установлен полугодовой режим мониторинга исполнения Стратегии на уровне Правления Банка и на уровне Наблюдательного совета).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Все вышеперечисленное создает необходимые условия для минимизации стратегического риска.</w:t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 w:eastAsiaTheme="minorEastAsia"/>
          <w:sz w:val="24"/>
          <w:szCs w:val="24"/>
          <w:lang w:val="ru-RU"/>
          <w14:ligatures w14:val="none"/>
        </w:rPr>
      </w:r>
    </w:p>
    <w:p>
      <w:pPr>
        <w:pStyle w:val="1166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lang w:val="ru-RU"/>
          <w14:ligatures w14:val="none"/>
        </w:rPr>
      </w:pPr>
      <w:r>
        <w:rPr>
          <w:rFonts w:ascii="Times New Roman" w:hAnsi="Times New Roman" w:cs="Times New Roman" w:eastAsiaTheme="minorEastAsia"/>
          <w:sz w:val="24"/>
          <w:szCs w:val="24"/>
          <w:lang w:val="ru-RU"/>
        </w:rPr>
        <w:t xml:space="preserve">Стратегический риск признан значимым для Группы.</w:t>
      </w:r>
      <w:r>
        <w:rPr>
          <w:rFonts w:ascii="Times New Roman" w:hAnsi="Times New Roman" w:cs="Times New Roman" w:eastAsiaTheme="minorEastAsia"/>
          <w:lang w:val="ru-RU"/>
          <w14:ligatures w14:val="none"/>
        </w:rPr>
      </w:r>
      <w:r>
        <w:rPr>
          <w:rFonts w:ascii="Times New Roman" w:hAnsi="Times New Roman" w:cs="Times New Roman" w:eastAsiaTheme="minorEastAsia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</w:t>
      </w:r>
      <w:r>
        <w:rPr>
          <w:rFonts w:ascii="Times New Roman" w:hAnsi="Times New Roman" w:cs="Times New Roman"/>
          <w:b/>
          <w:sz w:val="24"/>
          <w:szCs w:val="24"/>
        </w:rPr>
        <w:t xml:space="preserve">.1.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 Риск </w:t>
      </w:r>
      <w:r>
        <w:rPr>
          <w:rFonts w:ascii="Times New Roman" w:hAnsi="Times New Roman" w:cs="Times New Roman"/>
          <w:b/>
          <w:sz w:val="24"/>
          <w:szCs w:val="24"/>
        </w:rPr>
        <w:t xml:space="preserve">секьюритизации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 </w:t>
      </w:r>
      <w:r>
        <w:rPr>
          <w:rFonts w:ascii="Times New Roman" w:hAnsi="Times New Roman" w:cs="Times New Roman"/>
          <w:sz w:val="24"/>
          <w:szCs w:val="24"/>
        </w:rPr>
        <w:t xml:space="preserve">секъюритизации</w:t>
      </w:r>
      <w:r>
        <w:rPr>
          <w:rFonts w:ascii="Times New Roman" w:hAnsi="Times New Roman" w:cs="Times New Roman"/>
          <w:sz w:val="24"/>
          <w:szCs w:val="24"/>
        </w:rPr>
        <w:t xml:space="preserve"> по Группе отсутствует.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Страновые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региональные риски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как крупная кредитная организация, присутствующая на международных рынках, подвержено влиянию </w:t>
      </w:r>
      <w:r>
        <w:rPr>
          <w:rFonts w:ascii="Times New Roman" w:hAnsi="Times New Roman" w:cs="Times New Roman"/>
          <w:sz w:val="24"/>
          <w:szCs w:val="24"/>
        </w:rPr>
        <w:t xml:space="preserve">страновых</w:t>
      </w:r>
      <w:r>
        <w:rPr>
          <w:rFonts w:ascii="Times New Roman" w:hAnsi="Times New Roman" w:cs="Times New Roman"/>
          <w:sz w:val="24"/>
          <w:szCs w:val="24"/>
        </w:rPr>
        <w:t xml:space="preserve"> рисков, присущих деятельности его иностранных контрагентов. Принимаемый Банком </w:t>
      </w:r>
      <w:r>
        <w:rPr>
          <w:rFonts w:ascii="Times New Roman" w:hAnsi="Times New Roman" w:cs="Times New Roman"/>
          <w:sz w:val="24"/>
          <w:szCs w:val="24"/>
        </w:rPr>
        <w:t xml:space="preserve">страновой</w:t>
      </w:r>
      <w:r>
        <w:rPr>
          <w:rFonts w:ascii="Times New Roman" w:hAnsi="Times New Roman" w:cs="Times New Roman"/>
          <w:sz w:val="24"/>
          <w:szCs w:val="24"/>
        </w:rPr>
        <w:t xml:space="preserve"> риск связан с возникновением у Банка убытков в результ</w:t>
      </w:r>
      <w:r>
        <w:rPr>
          <w:rFonts w:ascii="Times New Roman" w:hAnsi="Times New Roman" w:cs="Times New Roman"/>
          <w:sz w:val="24"/>
          <w:szCs w:val="24"/>
        </w:rPr>
        <w:t xml:space="preserve">ате неисполнения иностранными контрагентами обязательств из-за экономических, политических, социальных изменений, а также вследствие того, что валюта денежного обязательства может быть недоступна контрагенту из-за изменений в национальном законодательстве.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1.9.</w:t>
      </w:r>
      <w:r>
        <w:rPr>
          <w:rFonts w:ascii="Times New Roman" w:hAnsi="Times New Roman" w:cs="Times New Roman"/>
          <w:b/>
          <w:sz w:val="24"/>
          <w:szCs w:val="24"/>
        </w:rPr>
        <w:t xml:space="preserve">3. Правовые риски*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137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Правовой риск – риск возникновения у Банка/участника Группы убытков вследствие нарушения Банк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ом/участником Группы и (или) его контрагентами условий заключенных договоров, допускаемых Банком/участником Группы правовых ошибок при осуществлении деятельности (например, неправильные юридические консультации или неверное составление документов, в т.ч. п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ри рассмотрении спорных вопросов в судебных органах), несовершенства правовой системы (например, противоречивость законодательства, отсутствие правовых норм по регулированию отдельных вопросов, возникающих в деятельности Банка/участника Группы), нарушения 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контрагентами нормативных правовых актов, нахождения филиалов Банка, юридических лиц, в отношении которых Банк/участник Группы осуществляет контроль или значительное влияние, а также контрагентов Банка/участника Группы под юрисдикцией различных государств.</w:t>
      </w:r>
      <w:r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r>
    </w:p>
    <w:p>
      <w:pPr>
        <w:pStyle w:val="1137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В соответствии с Положением о Правовом департаменте АО «Россельхозбанк» от 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27.12.2023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данным подразделением обеспечивается соблюдение законодательства Российской Федерации путем выполнения следующих задач:</w:t>
      </w:r>
      <w:r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обеспечение строгого соблюдения за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конности в деятельности Банка, правильного и единообразного применения законодательства Российской Федерации и нормативно-правовых актов государственных органов исполнительной власти и Банка России в части, относящейся к деятельности кредитных организаций;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обеспечение правовой защиты прав и законных интересов Банка, в том числе превентивными мерами правового характера, а также судебными средствами;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разработка и проведение общей правовой политики в Банке, прогнозирование правовой проблематики, разработка и реализация соответствующих предложений;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обеспечение наличия в разрабатываемых подразделениями Банка документах правовых гарантий соблюдения прав и интересов Банка;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проработка правовых моделей новых банковских услуг и коммерческих сделок, обеспечение правовой защиты интересов Банка при разработке и реализации финансовых проектов;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подготовка учредительных документов Банка;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 случаях и порядке, предусмотренных внутренними документами Банка, согласование проектов документов Банка по различным направлениям деятельности Банка с целью минимизации правового риска Банка;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numPr>
          <w:numId w:val="4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правовое обеспечение взаимодействия с коммерческими и некоммерческими организациями, в которых участвует Банк.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val="ru-RU" w:eastAsia="ru-RU" w:bidi="ru-RU"/>
          <w14:ligatures w14:val="none"/>
        </w:rPr>
      </w:r>
    </w:p>
    <w:p>
      <w:pPr>
        <w:pStyle w:val="1137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Согласно Стратегии управления, р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исками и капиталом Группы АО «Россельхозбанк» (утверждена решением Наблюдательного совета АО «Россельхозбанк», протокол от 12.07.2017 № 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12) 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Правовой департамент Банка в рамках управления правовым риском Группы осуществляет правовую экспертизу учредительных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 документов и внутренних документов участников Группы, регламентирующих деятельность их органов управления и контроля, на предмет соответствия действующему законодательству и внутренним стандартам.</w:t>
      </w:r>
      <w:r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r>
    </w:p>
    <w:p>
      <w:pPr>
        <w:pStyle w:val="1137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По имеющейся у Эмитента информации Банк/участник Группы не участвуют в каких-либо существенных судебных разбирательствах по искам, предъявленным к Группе, которые могут негативно сказаться на результатах финансово хозяйственной деятельности Эмитента. </w:t>
      </w:r>
      <w:r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 w:eastAsiaTheme="minorHAnsi"/>
          <w:sz w:val="24"/>
          <w:szCs w:val="24"/>
          <w:lang w:val="ru-RU"/>
          <w14:ligatures w14:val="none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*включаются в состав операционного риска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Риск потери деловой репутации (</w:t>
      </w:r>
      <w:r>
        <w:rPr>
          <w:rFonts w:ascii="Times New Roman" w:hAnsi="Times New Roman" w:cs="Times New Roman"/>
          <w:b/>
          <w:sz w:val="24"/>
          <w:szCs w:val="24"/>
        </w:rPr>
        <w:t xml:space="preserve">репутационный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риск)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137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lang w:val="ru-RU"/>
        </w:rPr>
      </w:pP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Группа может быть подвержена риску потери деловой репутации в случае формирования в обществе негативного представления о финансовой устойчивости Группы, качестве оказываемых услуг или характере деятельности в целом. 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</w:r>
    </w:p>
    <w:p>
      <w:pPr>
        <w:pStyle w:val="1137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lang w:val="ru-RU"/>
        </w:rPr>
      </w:pP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Возникновение 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репутационного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 риска может быть обусловлено следующими факторами: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</w:r>
    </w:p>
    <w:p>
      <w:pPr>
        <w:pStyle w:val="1137"/>
        <w:numPr>
          <w:numId w:val="21"/>
          <w:ilvl w:val="0"/>
        </w:numPr>
        <w:tabs>
          <w:tab w:val="left" w:pos="31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наличие негативной информации о Группе, членах органов управления и работниках участников Группы, дочерних организациях и других аффилированных лицах в средствах массовой 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 иных источниках;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1137"/>
        <w:numPr>
          <w:numId w:val="21"/>
          <w:ilvl w:val="0"/>
        </w:numPr>
        <w:tabs>
          <w:tab w:val="left" w:pos="31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возникновение конфликта интересов с клиентами и/или контрагентами участников Группы, а также другими заинтересованными лицами;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1137"/>
        <w:numPr>
          <w:numId w:val="21"/>
          <w:ilvl w:val="0"/>
        </w:numPr>
        <w:tabs>
          <w:tab w:val="left" w:pos="31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наличие жалоб, судебных исков со стороны клиентов и/или контрагентов участников Группы, применение мер воздействия со стороны регулирующих органов.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1137"/>
        <w:tabs>
          <w:tab w:val="left" w:pos="267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lang w:val="ru-RU"/>
        </w:rPr>
      </w:pP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Снижение 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репутационного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  <w:t xml:space="preserve"> риска достигается за счет:</w:t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</w:r>
      <w:r>
        <w:rPr>
          <w:rFonts w:ascii="Times New Roman" w:hAnsi="Times New Roman" w:cs="Times New Roman" w:eastAsiaTheme="minorHAnsi"/>
          <w:sz w:val="24"/>
          <w:szCs w:val="24"/>
          <w:lang w:val="ru-RU"/>
        </w:rPr>
      </w:r>
    </w:p>
    <w:p>
      <w:pPr>
        <w:pStyle w:val="1137"/>
        <w:numPr>
          <w:numId w:val="21"/>
          <w:ilvl w:val="0"/>
        </w:numPr>
        <w:tabs>
          <w:tab w:val="left" w:pos="25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своевременного реагирования на отзывы, претензии и предложения клиентов и других заинтересованных лиц;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1137"/>
        <w:numPr>
          <w:numId w:val="21"/>
          <w:ilvl w:val="0"/>
        </w:numPr>
        <w:tabs>
          <w:tab w:val="left" w:pos="25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своевременного рассмотрения и реагирования на негативные отзывы и сообщения о Группе в средствах массовой информации и иных источниках;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1137"/>
        <w:numPr>
          <w:numId w:val="21"/>
          <w:ilvl w:val="0"/>
        </w:numPr>
        <w:tabs>
          <w:tab w:val="left" w:pos="25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соблюдения участниками Группы законодательства, норм делового оборота и деловой этики, принятых бизнес-сообществом;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1137"/>
        <w:numPr>
          <w:numId w:val="21"/>
          <w:ilvl w:val="0"/>
        </w:numPr>
        <w:tabs>
          <w:tab w:val="left" w:pos="25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реализации программ повышения лояльности контрагентов.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Природно-климатический риск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создан для реализации государственной аграрной политики и является основой финансово-кредитного обслуживания АПК и смежных отраслей, что определяет отраслевую структуру кредитного портфеля Банка. Задачи, связанные с кредитованием </w:t>
      </w:r>
      <w:r>
        <w:rPr>
          <w:rFonts w:ascii="Times New Roman" w:hAnsi="Times New Roman" w:cs="Times New Roman"/>
          <w:sz w:val="24"/>
          <w:szCs w:val="24"/>
        </w:rPr>
        <w:t xml:space="preserve">сельхозтоваропроизводителей</w:t>
      </w:r>
      <w:r>
        <w:rPr>
          <w:rFonts w:ascii="Times New Roman" w:hAnsi="Times New Roman" w:cs="Times New Roman"/>
          <w:sz w:val="24"/>
          <w:szCs w:val="24"/>
        </w:rPr>
        <w:t xml:space="preserve">, формируют дополнительные кредитные риски, которые обусловлены специфическими рисками АПК, прежде </w:t>
      </w:r>
      <w:r>
        <w:rPr>
          <w:rFonts w:ascii="Times New Roman" w:hAnsi="Times New Roman" w:cs="Times New Roman"/>
          <w:sz w:val="24"/>
          <w:szCs w:val="24"/>
        </w:rPr>
        <w:t xml:space="preserve">всего, агроклиматическими. В результате высокой доли кредитов, выданных предприятиям аграрного сектора, финансовые результаты Банка могут значительно зависеть от сезонных и циклических изменений в сельскохозяйственном секторе, снижения цен на продовольстви</w:t>
      </w:r>
      <w:r>
        <w:rPr>
          <w:rFonts w:ascii="Times New Roman" w:hAnsi="Times New Roman" w:cs="Times New Roman"/>
          <w:sz w:val="24"/>
          <w:szCs w:val="24"/>
        </w:rPr>
        <w:t xml:space="preserve">е товары или увеличения издержек производства. Кроме того, неблагоприятные погодные условия, стихийные бедствия и другие события природно-климатического характера могут оказать существенное влияние на способность заемщиков обслуживать кредиты. Широкая сеть</w:t>
      </w:r>
      <w:r>
        <w:rPr>
          <w:rFonts w:ascii="Times New Roman" w:hAnsi="Times New Roman" w:cs="Times New Roman"/>
          <w:sz w:val="24"/>
          <w:szCs w:val="24"/>
        </w:rPr>
        <w:t xml:space="preserve"> точек продаж и обслуживания Банка, охватывающая большинство регионов России, определяет возможность реализации рисков, связанных с объективными природно-климатическими процессами, что может оказать негативное влияние на деятельность Банка и его клиентов: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Засуха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Малое количество осадков в весенне-летний период года наносит ощутимый вр</w:t>
      </w:r>
      <w:r>
        <w:rPr>
          <w:rFonts w:ascii="Times New Roman" w:hAnsi="Times New Roman" w:cs="Times New Roman"/>
          <w:sz w:val="24"/>
          <w:szCs w:val="24"/>
        </w:rPr>
        <w:t xml:space="preserve">ед сельскохозяйственным культурам и плодово-ягодным насаждениям, что снижает урожайность и, следовательно, объемы реализации готовой продукции, что негативно отражается на платежеспособности клиентов Банка. В наибольшей степени засухе подвержены степные и </w:t>
      </w:r>
      <w:r>
        <w:rPr>
          <w:rFonts w:ascii="Times New Roman" w:hAnsi="Times New Roman" w:cs="Times New Roman"/>
          <w:sz w:val="24"/>
          <w:szCs w:val="24"/>
        </w:rPr>
        <w:t xml:space="preserve">полустепные</w:t>
      </w:r>
      <w:r>
        <w:rPr>
          <w:rFonts w:ascii="Times New Roman" w:hAnsi="Times New Roman" w:cs="Times New Roman"/>
          <w:sz w:val="24"/>
          <w:szCs w:val="24"/>
        </w:rPr>
        <w:t xml:space="preserve"> районы регионов Южного и </w:t>
      </w:r>
      <w:r>
        <w:rPr>
          <w:rFonts w:ascii="Times New Roman" w:hAnsi="Times New Roman" w:cs="Times New Roman"/>
          <w:sz w:val="24"/>
          <w:szCs w:val="24"/>
        </w:rPr>
        <w:t xml:space="preserve">Северо-Кавказского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округов (Республика Калмык</w:t>
      </w:r>
      <w:r>
        <w:rPr>
          <w:rFonts w:ascii="Times New Roman" w:hAnsi="Times New Roman" w:cs="Times New Roman"/>
          <w:sz w:val="24"/>
          <w:szCs w:val="24"/>
        </w:rPr>
        <w:t xml:space="preserve">ия, Ростовская область, Волгоградская область, Астраханская область, Ставропольский край, Республика Дагестан), а также часть территории регионов южного Поволжья и Урала (Саратовская, Самарская, Оренбургская, Челябинская области, Республика Башкортостан).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Подтопление и переувлажнение сельскохозяйственных земель</w:t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по причине выпадения избыточного количества атмосферных осадков или разливов рек в период весеннего паводка.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тер</w:t>
      </w:r>
      <w:r>
        <w:rPr>
          <w:rFonts w:ascii="Times New Roman" w:hAnsi="Times New Roman" w:cs="Times New Roman"/>
          <w:sz w:val="24"/>
          <w:szCs w:val="24"/>
        </w:rPr>
        <w:t xml:space="preserve">риториям, в наибольшей степени подверженным негативному влиянию избыточных осадков, относятся регионы Нечерноземья Северо-Западного и Центрального федеральных округов (Калининградская, Ленинградская, Новгородская, Тверская, Брянская, Ивановская области).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Наибольшие риски ущерба сельхозугодиям характерны для территорий, распол</w:t>
      </w:r>
      <w:r>
        <w:rPr>
          <w:rFonts w:ascii="Times New Roman" w:hAnsi="Times New Roman" w:cs="Times New Roman"/>
          <w:sz w:val="24"/>
          <w:szCs w:val="24"/>
        </w:rPr>
        <w:t xml:space="preserve">оженных на юге Приморского края, в долине реки Амур (Хабаровский край, Амурская область Еврейская АО), в бассейне Средней и Верхней Оки (Нижегородская, Владимирская, Рязанская области) и Верхнего Дона (Воронежская область), на реках бассейнов Кубани и Тере</w:t>
      </w:r>
      <w:r>
        <w:rPr>
          <w:rFonts w:ascii="Times New Roman" w:hAnsi="Times New Roman" w:cs="Times New Roman"/>
          <w:sz w:val="24"/>
          <w:szCs w:val="24"/>
        </w:rPr>
        <w:t xml:space="preserve">ка (Краснодарский край, Карачаево-Черкесская Республика, Ингушетия, Северная Осетия), в бассейнах рек Тобол (Свердловская и Тюменская области) и Ангара (Иркутская область), на притоках Среднего Енисея (Красноярский край) и Средней Лены (Республика Якутия).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Сейсмоопасность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(землетрясения)</w:t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России, по сравнению с другими государствами, в целом характ</w:t>
      </w:r>
      <w:r>
        <w:rPr>
          <w:rFonts w:ascii="Times New Roman" w:hAnsi="Times New Roman" w:cs="Times New Roman"/>
          <w:sz w:val="24"/>
          <w:szCs w:val="24"/>
        </w:rPr>
        <w:t xml:space="preserve">еризуется умеренной сейсмичностью. Но отдельные территории страны являются потенциально сейсмически опасными зонами. Наибольшим риском землетрясения характеризуются Сахалинская область и Камчатский край, расположенные в северной части Тихоокеанского сейсми</w:t>
      </w:r>
      <w:r>
        <w:rPr>
          <w:rFonts w:ascii="Times New Roman" w:hAnsi="Times New Roman" w:cs="Times New Roman"/>
          <w:sz w:val="24"/>
          <w:szCs w:val="24"/>
        </w:rPr>
        <w:t xml:space="preserve">ческого пояса – самого активного на Земле. Некоторой сейсмической активностью отличается ряд районов республик Северного Кавказа, Сибири и Урала, расположенных в пределах горных систем – Кавказских, Алтайских, Саянских и Уральских гор, а также Байкальская </w:t>
      </w:r>
      <w:r>
        <w:rPr>
          <w:rFonts w:ascii="Times New Roman" w:hAnsi="Times New Roman" w:cs="Times New Roman"/>
          <w:sz w:val="24"/>
          <w:szCs w:val="24"/>
        </w:rPr>
        <w:t xml:space="preserve">рифтовая</w:t>
      </w:r>
      <w:r>
        <w:rPr>
          <w:rFonts w:ascii="Times New Roman" w:hAnsi="Times New Roman" w:cs="Times New Roman"/>
          <w:sz w:val="24"/>
          <w:szCs w:val="24"/>
        </w:rPr>
        <w:t xml:space="preserve"> зона, над которой располагается озеро Байкал. Однако масштабы сельскохозяйственной деятельности в потенциально сейсмоопасных районах России незначительны.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агрострахования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активно развиваются, однако доля застрахованных сельскохозяйственных угодий все еще остается низкой. По данным Национальной ассоциации </w:t>
      </w:r>
      <w:r>
        <w:rPr>
          <w:rFonts w:ascii="Times New Roman" w:hAnsi="Times New Roman" w:cs="Times New Roman"/>
          <w:sz w:val="24"/>
          <w:szCs w:val="24"/>
        </w:rPr>
        <w:t xml:space="preserve">агростраховщиков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 в 2023 году было застраховано всего 10,6 млн га (около 13%) посевной площади. Растущая доля страхования постепенно снижает финансово-кредитные риски отрасли и Банка.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риски, связанные с негативным влиянием внешних факторов на деятельность Банка, полностью учитываются в работе. Управление этими рисками осуществляется в полном соответствии с требованиями Банка России.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Иные риски, которые являются существенными для эмитента (группы эмитента)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риски, которые являются существенными для Группы эмитента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Раздел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2.1. Информация о лицах, входящих в состав органов управления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Наблюдательный совет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spacing w:after="0" w:line="240" w:lineRule="auto"/>
        <w:ind w:firstLine="709"/>
        <w:outlineLvl w:val="2"/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1 Постановления Правительства Российской Федерации от 04.07.2</w:t>
      </w:r>
      <w:r>
        <w:rPr>
          <w:rFonts w:ascii="Times New Roman" w:hAnsi="Times New Roman" w:cs="Times New Roman"/>
          <w:sz w:val="24"/>
          <w:szCs w:val="24"/>
        </w:rPr>
        <w:t xml:space="preserve">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пункту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Правительства Российской Федерации от 04.07.2023 № 1102,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в данном пун</w:t>
      </w:r>
      <w:r>
        <w:rPr>
          <w:rFonts w:ascii="Times New Roman" w:hAnsi="Times New Roman" w:cs="Times New Roman"/>
          <w:sz w:val="24"/>
          <w:szCs w:val="24"/>
        </w:rPr>
        <w:t xml:space="preserve">кте не раскрывается,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outlineLvl w:val="2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  <w14:ligatures w14:val="non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Основные положения политики в области вознаграждения и (или) компенсации расходов членов органов управления эмитента: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Наблюдательным советом Банка утверждена Политика в области оплаты труда работников АО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 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«Россельхозбанк»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№ 697-П</w:t>
      </w:r>
      <w:r>
        <w:rPr>
          <w:rStyle w:val="1188"/>
          <w:rFonts w:ascii="Times New Roman" w:hAnsi="Times New Roman" w:eastAsia="Times New Roman" w:cs="Times New Roman"/>
          <w:sz w:val="20"/>
          <w:szCs w:val="20"/>
        </w:rPr>
        <w:footnoteReference w:id="6"/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(далее – Политика в области оплаты труда), предусматривающая учет всех требований действующего законодательства Российской Федерации, в том числе нормативных актов Банка России к системе оплаты труда кредитной организации.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Утвержденная Наблюдательным советом Банка Политика в области оплаты труда содержит положения о вознаграждениях единоличного исполнительного органа и членов коллегиального исполнительного органа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Утвержденная Наблюдательным советом Банка Политика в области оплаты труда предусматривает, в том числе: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65"/>
          <w:ilvl w:val="0"/>
        </w:numPr>
        <w:spacing w:after="0" w:line="240" w:lineRule="auto"/>
        <w:ind w:left="0" w:right="0" w:firstLine="425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все используемые в Банке формы оплаты труда и виды выплат;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65"/>
          <w:ilvl w:val="0"/>
        </w:numPr>
        <w:spacing w:after="0" w:line="240" w:lineRule="auto"/>
        <w:ind w:left="0" w:right="0" w:firstLine="425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порядок определения размеров должно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стных окладов, компенсационных,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стимулирующих и социальных выплат;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65"/>
          <w:ilvl w:val="0"/>
        </w:numPr>
        <w:spacing w:after="0" w:line="240" w:lineRule="auto"/>
        <w:ind w:left="0" w:right="0" w:firstLine="425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зависимость переменной части опла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ты труда от исполнения ключевых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показателей эффективности,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позволяющих учитывать все значимые для Банка риски;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65"/>
          <w:ilvl w:val="0"/>
        </w:numPr>
        <w:spacing w:after="0" w:line="240" w:lineRule="auto"/>
        <w:ind w:left="0" w:right="0" w:firstLine="425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порядок оценки эффективности организации и функционирования системы оплаты труда, ее соответствия Стратегии Банка, характеру и масштабу совершаемых операций, результатам деятельности, уровню и сочетанию принимаемых рисков;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65"/>
          <w:ilvl w:val="0"/>
        </w:numPr>
        <w:spacing w:after="0" w:line="240" w:lineRule="auto"/>
        <w:ind w:left="0" w:right="0" w:firstLine="425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критерии определения крупных вознаграждений и механизм контроля их выплат со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стороны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Наблюдательного совета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Для всех категорий работников Банка применяется система оплаты труда, включающая в себя следующие элементы заработной платы: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65"/>
          <w:ilvl w:val="0"/>
        </w:numPr>
        <w:spacing w:after="0" w:line="240" w:lineRule="auto"/>
        <w:ind w:left="0" w:right="0" w:firstLine="425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должностной оклад;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65"/>
          <w:ilvl w:val="0"/>
        </w:numPr>
        <w:spacing w:after="0" w:line="240" w:lineRule="auto"/>
        <w:ind w:left="0" w:right="0" w:firstLine="425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стимулирующие выплаты (премиальные выплаты, доплаты и надбавки стимулирующего характера);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65"/>
          <w:ilvl w:val="0"/>
        </w:numPr>
        <w:spacing w:after="0" w:line="240" w:lineRule="auto"/>
        <w:ind w:left="0" w:right="0" w:firstLine="425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компенсационные выплаты (доплаты и надбавки компенсационного характера) и прочие выплаты, осуществляемые в соответствии с трудовым законодательством Российской Федерации и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/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или внутренними документами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Единый порядок определения размера, форм и начисления элементов системы оплаты труда устанавливается внутренними документами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Предварительное рассмотрение вопросов Политики в области оплаты труда осуществляется Комитетом по кадрам и вознаграждениям Наблюдательного совета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br/>
        <w:t xml:space="preserve">(далее - Комитет по кадрам)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 компетенции Комитета по кадрам в числе прочих отнесены такие вопросы, как формирование принципов и критериев определения размера вознаграждения руководителей Банка, подго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товка предложений Наблюдательному совету Банка по вопросам политики в области оплаты труда, мониторинг соответствия действующей в Банке политики в области вознаграждения, стратегии развития Банка, его финансовому положению, а также ситуации на рынке труда.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Решения о порядке определения размера, форм и начисления компенсационных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br/>
        <w:t xml:space="preserve">и стимулирующих выплат руководящим работникам Банка принимаются Наблюдательным советом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Принципы системы оплаты труда Банка распространяются на организации Группы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 Банка с учетом характера деятельности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и целевых стратегических задач.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В 2024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 году Обществом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 с ограниченной ответственностью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 «АМТ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Консалт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» пров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едена независимая оценка системы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 оплаты труда Банка, по ит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огам которой подготовлен отчет </w:t>
      </w:r>
      <w:bookmarkStart w:id="0" w:name="undefined"/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bookmarkEnd w:id="0"/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eastAsia="ru-RU"/>
        </w:rPr>
        <w:t xml:space="preserve">о результатах независимой оценки системы оплаты труда Банка, подтверждающий соответствие системы оплаты труда Банка требованиям Банка России.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Итоги независимой оценки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системы оплаты труда Банка, подтверждающие ее соответствие требованиям Банка России, в том числе характеру и масштабу совершаемых Банком операций, результатам его деятельности, уровню и сочетанию принимаемых рисков, рассмотрены Наблюдательным советом Банка</w:t>
      </w:r>
      <w:r>
        <w:rPr>
          <w:rStyle w:val="1188"/>
          <w:rFonts w:ascii="Times New Roman" w:hAnsi="Times New Roman" w:eastAsia="Times New Roman" w:cs="Times New Roman"/>
          <w:sz w:val="24"/>
          <w:szCs w:val="24"/>
          <w:highlight w:val="white"/>
        </w:rPr>
        <w:footnoteReference w:id="7"/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Наряду с результатами независимой оценки системы оплаты труда Банка, а также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по результатам проведенной Банком самооценки системы оплаты труда в соответствии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 требованиями Банка России и запросом уполномоченного структурного по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дразделения Банка России Наблюдательным советом Б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анка принято решение о признании системы оплаты труда Банка соответствующей стратегии Банка, характеру и масштабу совершаемых им операций, результатам его деятельности, уровню и сочетанию принимаемых рисков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и подлежащей сохранению на следующий календарный го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</w:t>
      </w:r>
      <w:r>
        <w:rPr>
          <w:rStyle w:val="1188"/>
          <w:rFonts w:ascii="Times New Roman" w:hAnsi="Times New Roman" w:eastAsia="Times New Roman" w:cs="Times New Roman"/>
          <w:sz w:val="24"/>
          <w:szCs w:val="24"/>
          <w:highlight w:val="white"/>
        </w:rPr>
        <w:footnoteReference w:id="8"/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Информация о размере и видах вознаграждения, которые были выплачены Эмитентом: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line="216" w:lineRule="auto"/>
        <w:ind w:firstLine="709"/>
        <w:jc w:val="center"/>
        <w:outlineLvl w:val="0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Наблюдательный совет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3572"/>
        <w:gridCol w:w="3261"/>
      </w:tblGrid>
      <w:tr>
        <w:trPr/>
        <w:tblPrEx/>
        <w:tc>
          <w:tcPr>
            <w:tcW w:w="266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noWrap w:val="false"/>
            <w:textDirection w:val="lrTb"/>
            <w:vAlign w:val="center"/>
          </w:tcPr>
          <w:p>
            <w:pPr>
              <w:pStyle w:val="1139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вознаграждения,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blPrEx/>
        <w:tc>
          <w:tcPr>
            <w:tcW w:w="266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50"/>
        </w:trPr>
        <w:tblPrEx/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  <w:t xml:space="preserve"> 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  <w:t xml:space="preserve">4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Вознаграждения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856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04"/>
        </w:trPr>
        <w:tblPrEx/>
        <w:tc>
          <w:tcPr>
            <w:tcW w:w="2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0"/>
        </w:trPr>
        <w:tblPrEx/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ИТОГО: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none"/>
              </w:rPr>
              <w:t xml:space="preserve">10 856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</w:tbl>
    <w:p>
      <w:pPr>
        <w:pStyle w:val="1176"/>
        <w:ind w:firstLine="540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Правление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0"/>
        <w:gridCol w:w="3572"/>
        <w:gridCol w:w="3261"/>
      </w:tblGrid>
      <w:tr>
        <w:trPr>
          <w:trHeight w:val="1008"/>
        </w:trPr>
        <w:tblPrEx/>
        <w:tc>
          <w:tcPr>
            <w:tcW w:w="266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noWrap w:val="false"/>
            <w:textDirection w:val="lrTb"/>
            <w:vAlign w:val="center"/>
          </w:tcPr>
          <w:p>
            <w:pPr>
              <w:pStyle w:val="1139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вознаграждения,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blPrEx/>
        <w:tc>
          <w:tcPr>
            <w:tcW w:w="266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 </w:t>
            </w:r>
            <w:r>
              <w:rPr>
                <w:rFonts w:ascii="Times New Roman" w:hAnsi="Times New Roman"/>
                <w:highlight w:val="white"/>
              </w:rPr>
              <w:t xml:space="preserve">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  <w:t xml:space="preserve">4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Заработная плата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161 359</w:t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Премия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73 530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60"/>
        </w:trPr>
        <w:tblPrEx/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2 101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60"/>
        </w:trPr>
        <w:tblPrEx/>
        <w:tc>
          <w:tcPr>
            <w:tcW w:w="2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Отложенный годовой бонус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219 120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ИТОГО: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none"/>
              </w:rPr>
              <w:t xml:space="preserve">456 110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76"/>
        <w:ind w:firstLine="540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spacing w:line="216" w:lineRule="auto"/>
        <w:ind w:firstLine="709"/>
        <w:jc w:val="center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Ревизионная комиссия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</w:tblGrid>
      <w:tr>
        <w:trPr>
          <w:jc w:val="center"/>
          <w:trHeight w:val="280"/>
        </w:trPr>
        <w:tblPrEx/>
        <w:tc>
          <w:tcPr>
            <w:tcW w:w="2988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pStyle w:val="1139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льготы и (или)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  <w:t xml:space="preserve"> 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  <w:t xml:space="preserve">4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Заработная плата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Премия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76"/>
        <w:ind w:firstLine="540"/>
        <w:jc w:val="both"/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spacing w:line="216" w:lineRule="auto"/>
        <w:ind w:firstLine="709"/>
        <w:jc w:val="center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Служба внутреннего аудита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</w:tblGrid>
      <w:tr>
        <w:trPr>
          <w:jc w:val="center"/>
          <w:trHeight w:val="280"/>
        </w:trPr>
        <w:tblPrEx/>
        <w:tc>
          <w:tcPr>
            <w:tcW w:w="2988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pStyle w:val="1139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льготы и (или)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  <w:t xml:space="preserve"> 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  <w:t xml:space="preserve">4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Заработная плата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174 576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185"/>
        </w:trPr>
        <w:tblPrEx/>
        <w:tc>
          <w:tcPr>
            <w:tcW w:w="2988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Премия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29 981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148"/>
        </w:trPr>
        <w:tblPrEx/>
        <w:tc>
          <w:tcPr>
            <w:tcW w:w="2988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Отложенный годовой бонус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581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Компенсации расходов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(командировки)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9 572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214 710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line="216" w:lineRule="auto"/>
        <w:ind w:firstLine="709"/>
        <w:jc w:val="center"/>
        <w:rPr>
          <w:rFonts w:ascii="Times New Roman" w:hAnsi="Times New Roman"/>
          <w:b/>
          <w:bCs/>
          <w:highlight w:val="yellow"/>
        </w:rPr>
      </w:pPr>
      <w:r>
        <w:rPr>
          <w:rFonts w:ascii="Times New Roman" w:hAnsi="Times New Roman"/>
          <w:b/>
          <w:bCs/>
          <w:highlight w:val="yellow"/>
        </w:rPr>
      </w:r>
      <w:r>
        <w:rPr>
          <w:rFonts w:ascii="Times New Roman" w:hAnsi="Times New Roman"/>
          <w:b/>
          <w:bCs/>
          <w:highlight w:val="yellow"/>
        </w:rPr>
      </w:r>
      <w:r>
        <w:rPr>
          <w:rFonts w:ascii="Times New Roman" w:hAnsi="Times New Roman"/>
          <w:b/>
          <w:bCs/>
          <w:highlight w:val="yellow"/>
        </w:rPr>
      </w:r>
    </w:p>
    <w:p>
      <w:pPr>
        <w:spacing w:line="216" w:lineRule="auto"/>
        <w:ind w:firstLine="709"/>
        <w:jc w:val="center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Департамент </w:t>
      </w:r>
      <w:r>
        <w:rPr>
          <w:rFonts w:ascii="Times New Roman" w:hAnsi="Times New Roman"/>
          <w:b/>
          <w:bCs/>
          <w:highlight w:val="white"/>
        </w:rPr>
        <w:t xml:space="preserve">комплаенс</w:t>
      </w:r>
      <w:r>
        <w:rPr>
          <w:rFonts w:ascii="Times New Roman" w:hAnsi="Times New Roman"/>
          <w:b/>
          <w:bCs/>
          <w:highlight w:val="white"/>
        </w:rPr>
        <w:t xml:space="preserve">-контроля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</w:tblGrid>
      <w:tr>
        <w:trPr>
          <w:jc w:val="center"/>
          <w:trHeight w:val="1008"/>
        </w:trPr>
        <w:tblPrEx/>
        <w:tc>
          <w:tcPr>
            <w:tcW w:w="2988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pStyle w:val="1139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вознаграждения,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  <w:t xml:space="preserve"> 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  <w:t xml:space="preserve">4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Заработная плата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125 094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Премия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34 304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88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Отложенный годовой бонус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114"/>
        </w:trPr>
        <w:tblPrEx/>
        <w:tc>
          <w:tcPr>
            <w:tcW w:w="2988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 (командировки)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221"/>
        </w:trPr>
        <w:tblPrEx/>
        <w:tc>
          <w:tcPr>
            <w:tcW w:w="298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none"/>
              </w:rPr>
              <w:t xml:space="preserve">159 720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Сведения, указанные в настоящем пункте, не могут являться предметом соглашения о конфиденциальной информации, препятствующего их раскрытию в отчете эмитента.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Описание организации в эмитенте управле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ния рисками, контроля за финансово-хозяйственной деятельностью, внутреннего контроля и внутреннего аудита в соответствии с уставом (учредительным документом) эмитента, внутренними документами эмитента и решениями уполномоченных органов управления эмитента: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соо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тветствии со статьей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24 Федерального закона от 02.12.1990 № 395-1 «О банках и банковской деятельности», Положением Банка России от 16.12.2003 № 242-П                      «Об организации внутреннего контроля в кредитных организациях и банковских группах» (далее – Положение Бан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ка России № 242-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П), Указанием Банка России от 15.04.2015                 № 3624-У «О требованиях к системе управления рисками и капиталом кредитной организации и банковской группы» в АО «Россельхозбанк» созданы системы управления рисками и капиталом, внутреннего контроля.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целях контроля за финансово-хозяйственной деятельностью АО «Россельхозбанк» функционирует система органов внутреннего контроля АО «Россельхозбанк». Согласно Уставу АО «Россельхозбанк» система органов внутреннего контроля Банка включает: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органы управления Банка – Общее собрание акционеров Банка, Наблюдательный совет Банка, Правление Банка, Председатель Правления Банка;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Ревизионную комиссию Банка;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Главного бухгалтера Банка (его заместителей);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руководителя филиала Банка (его заместителей) и главного бухгалтера филиала Банка (его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заместителей);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подразделения и работников Банка, осуществляющих внутренний контроль в соответствии с полномочиями, определяемыми внутренними документами, включая: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1) Службу внутреннего аудита;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2) Департамент комплаенс-контроля;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3) Ответственного сотрудника (Службу финансового мониторинга) по противодействию лег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ализации (отмыванию) доходов, полученных преступным путем, и финансированию терроризма (ПОД/ФТ), осуществляющего деятельность по организации и проведению работы по ПОД/ФТ, а также реализации правил внутреннего контроля в целях ПОД/ФТ в АО «Россельхозбанк»;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4) контролера профессионального участника рынка ценных бумаг (далее – Контролер);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5) иные структурные подразделения и (или) ответственных работников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  <w:highlight w:val="white"/>
        </w:rPr>
        <w:t xml:space="preserve">В Банке функционирует система управления рисками.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Одной из основных целей управления рисками Банка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является развитие риск-культуры и риск-ориентированной модели Банка – создание атмосферы, при которой в адекватном управлении рисками заинтересованы все работники участников Банка, культуры дисциплинированного и взвешенного отношения к принимаемым рискам.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На уровне Банка установлены процедуры, обеспечивающие контроль за соблюдением установленных лимитов. В дополнение к процедурам конт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роля лимитов, используется система показателей (сигнальных значений), свидетельствующих о высокой степени использования лимитов, перечень корректирующих мероприятий в зависимости от степени приближения использования лимита к сигнальному значению, например: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снижение уровня принятого риска;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увеличение размера капитала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Информация о достижении установленных сигнальных значений, о фактах несоблюдения установленных лимитов и действиях, предпринятых для их устранения, доводится до Наблюдательного совета Банка по мере выявления указа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нных фактов в составе отчета о значимых рисках Банка. На основе информации, содержащейся в указанном отчете, уполномоченные органы Банка в рамках своей компетенции принимают и контролируют исполнение решений о реализации мер, направленных на устранение и/и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ли недопущение нарушений установленных лимитов. В частности, указанные меры могут быть направлены на совершенствование системы управления рисками, снижение уровня принятых рисков, увеличение размера капитала и корректировку показателей риск-аппетита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Основной целью формирования отчетности в рамках системы управления рисками является контроль эффективности выполнения ВП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ОДК, в т.ч. достаточности капитала, соблюдения лимитов и риск-аппетита, обеспечение своевременного принятия мер для соблюдения лимитов, риск-аппетита и поддержания достаточности капитала Банка, а также раннее предупреждение нарушений установленных лимитов.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Формы отчетов разрабатываются таким образом, чтобы обеспечить возможность: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осуществлять обобщение информации по различным видам значимых рисков;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осуществлять оценку достаточности капитала и оценивать потребность в капитале на перспективу;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информировать органы управления, рабочие коллегиальные органы и подразделения участников Банка о результатах оценки достаточности капитала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Информация о комитете по аудиту Наблюдательного совета Банка, его функциях, персональном и количественном составе: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</w:t>
      </w:r>
      <w:r>
        <w:rPr>
          <w:rFonts w:ascii="Times New Roman" w:hAnsi="Times New Roman" w:cs="Times New Roman"/>
          <w:sz w:val="24"/>
          <w:szCs w:val="24"/>
        </w:rPr>
        <w:t xml:space="preserve">б акционерных обществах» и Федерального закона «О рынке ценных бумаг», согласно пункту 1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Постановлению Правительства Российской Федерации от 04.07.2023 № 1102, информация о </w:t>
      </w:r>
      <w:r>
        <w:rPr>
          <w:rFonts w:ascii="Times New Roman" w:hAnsi="Times New Roman" w:cs="Times New Roman"/>
          <w:sz w:val="24"/>
          <w:szCs w:val="24"/>
        </w:rPr>
        <w:t xml:space="preserve">персональном и количественном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по аудиту Наблюдательного совета Банка</w:t>
      </w:r>
      <w:r>
        <w:rPr>
          <w:rFonts w:ascii="Times New Roman" w:hAnsi="Times New Roman" w:cs="Times New Roman"/>
          <w:sz w:val="24"/>
          <w:szCs w:val="24"/>
        </w:rPr>
        <w:t xml:space="preserve"> не раскрывается,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r>
    </w:p>
    <w:p>
      <w:pPr>
        <w:pStyle w:val="1130"/>
        <w:tabs>
          <w:tab w:val="left" w:pos="567" w:leader="none"/>
        </w:tabs>
        <w:ind w:firstLine="709"/>
        <w:rPr>
          <w:b/>
          <w:bCs/>
          <w:i/>
          <w:iCs/>
          <w:highlight w:val="white"/>
        </w:rPr>
      </w:pPr>
      <w:r>
        <w:rPr>
          <w:b/>
          <w:i/>
          <w:highlight w:val="white"/>
        </w:rPr>
        <w:t xml:space="preserve">Функции Комитета </w:t>
      </w:r>
      <w:r>
        <w:rPr>
          <w:b/>
          <w:bCs/>
          <w:i/>
          <w:iCs/>
          <w:highlight w:val="white"/>
        </w:rPr>
        <w:t xml:space="preserve">по аудиту Наблюдательного совета: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В части внутреннего контроля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1.1. Анализ системы внутреннего контроля в Банке, методов и процедур контроля.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1.2. Оценка эффективности методов и процедур внутреннего контроля и управления рисками и подготовка предложений по совершенствованию методов и процедур внутреннего контроля.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1.3. Контроль выполнения исполнительными органами управления Банка, руководителями структурных подразделений и работниками Банка рекомендаций СВА и внешнего аудитора.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1.4. Обсуж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дение с исполнительными органами управления Банка, руководителями структурных подразделений, внешним аудитором и руководителем СВА наиболее существенных рисков, стоящих перед Банком, и выработка предложений по совершенствованию системы управления рисками.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1.5. Анализ эффективности системы контроля соблюдения законодательства Российской Федерации при подготовке финансовой отчетности, в части подготовки международной финансовой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тчетности и соблюдения международных стандартов финансовой отчетности (далее – МСФО), а также принимаемых исполнительными органами управления Банка мер в отношении фактов несоблюдения законодательных норм и требований, обнаруженных по результатам проверок.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1.6. Предварительное рассмотрение плана работы СВА на предстоящий/текущий год и подготовка предложений Наблюдательному совету о включении в план работы СВА вопросов, связанных с основными областями риска.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1.7. Проведение встреч с руководителем СВА для обсуждения вопросов деятельности СВА, которые, по мнению Комитета по аудиту или СВА должны обсуждаться конфиденциально.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1.8. Своевременное рассмотрение сообщений СВА о выявленных нарушениях в деятельности Банка и представленных СВА рекомендаций, а также представление Наблюдательному совету рекомендаций о мерах по устранению выявленных нарушений.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1.9. Анализ деятельности и организационной структуры СВА, и представление заключений и рекомендаций Наблюдательному совету по повышению эффективности работы СВА.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В части подготовки финансовой отчетности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2.1. Анализ промежуточной и годовой финансовой отчетности, и результатов ее аудита (обзора) внешним аудитором и предоставление соответствующего заключения Наблюдательному совету.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2.2. Оценка соответствия состава раскрываемой Банком информации, порядка раскрытия, сроков раскрытия нормам и требованиям действующего законодательства и предоставление соответствующего заключения Наблюдательному совету.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2.3. Рассмотрение существенных вопросов бухгалтерского учета и составления отчетности, включая нормативные акты и стандарты, оценка степени их возможного влияния на финансовую отчетность и предоставление соответствующего заключения Наблюдательному совету.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2.4. Анализ применяемых исполнительными органами и подразделе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ниями Банка процедур контроля соблюдения Банком законов и других нормативных актов, стандартов МСФО (при подготовке международной финансовой отчетности), требований к финансовой отчетности и представление соответствующего заключения Наблюдательному совету.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2.5. Анализ полученных от исполнительных органов управления Банка и руководителей структурных подразделений данных по вопросам соблюдения законодательства, которые могут повлиять на финансовую отчетность Банка и выполнение требований законодательства.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2.6. Оценка объективности данных годовой и промежуточной финансовой отчетности, годовых отчетов акционерам Банка до передачи соответствующих отчетов Наблюдательному совету. При этом особое внимание должно уделяться: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numPr>
          <w:numId w:val="17"/>
          <w:ilvl w:val="0"/>
        </w:numPr>
        <w:tabs>
          <w:tab w:val="num" w:pos="0" w:leader="none"/>
          <w:tab w:val="left" w:pos="993" w:leader="none"/>
          <w:tab w:val="clear" w:pos="1554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любым изменениям в правилах бухгалтерского учета и бухгалтерской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numPr>
          <w:numId w:val="17"/>
          <w:ilvl w:val="0"/>
        </w:numPr>
        <w:tabs>
          <w:tab w:val="num" w:pos="0" w:leader="none"/>
          <w:tab w:val="left" w:pos="993" w:leader="none"/>
          <w:tab w:val="clear" w:pos="1554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любым значительным изменениям/расхождениям, обнаруженным аудиторами;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numPr>
          <w:numId w:val="17"/>
          <w:ilvl w:val="0"/>
        </w:numPr>
        <w:tabs>
          <w:tab w:val="num" w:pos="0" w:leader="none"/>
          <w:tab w:val="left" w:pos="993" w:leader="none"/>
          <w:tab w:val="clear" w:pos="1554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соответствию бухгалтерским и другим финансовым стандартам.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2.7. Оценка достоверности раскрываемой финансовой информации, 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т.ч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при публикации финансовой (бухгалтерской) отчетности.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 В части взаимодействия с внешним аудитором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 Получение от внешнего аудитора плана работы по аудиту, заключений, рекомендаций.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 Предоставление Наблюдательному совету, в случае необходимости, предложений о замене внешнего аудитора Банка.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3.3. Проведение оценки годового отчета и предоставление Наблюдательному совету заключения по данному документу до его вынесения Наблюдательным советом на утверждение Общего собрания акционеров Банка.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3.4. Проведение оценки заключения внешнего аудитора Банка, которая должна предоставляться в качестве материала к годовому Общему собранию акционеров Банка.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 Рассмотрение предложений по разработке и совершенствованию внутренних документов Банка по вопросам, относящимся к компетенции Комитета по аудиту, утверждение которых отнесено к компетенции Наблюдательного совета.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 Анализ подготовки и проведения открытого конкурса по выбору внешнего аудитора Банка.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6. Предварительное, до принятия Правлением Банка решения 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проведении открытого конкурса и формировании конкурсной комиссии, представление Наблюдательному совету предложений по проекту договора, заключаемого с внешним аудитором Банка, о максимальном размере и порядке выплаты вознаграждения внешнему аудитору Банка.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 По решению Наблюдательного совета на Комитет по  аудиту могут быть возложены иные функции.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наличии отдельного структурного подразделения (подразделений) по управлению рисками и (или) внутреннему контролю, а также задачах и функциях указанного структурного подразделения (подразделений):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  <w:t xml:space="preserve">Департамент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  <w:t xml:space="preserve">комплаенс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  <w:t xml:space="preserve">-контроля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Департамент комплаенс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-контроля – подразделение, созданное для осуществления в Банке внутреннего контроля и содействия исполнительным органам управления Банка в обеспечении эффективного функционирования Банка в области управления регуляторным риском и противодействия коррупции.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Департамент комплаенс-контроля осуществляет свою деятельность в соответствии с Положением о Департаменте комплаенс-контроля (утверждено Председателем Правления Банка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12.07.2024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, ранее в 2023 году последовательно действовали Положения о Департаменте комплаенс-контроля, утвержденные Председателем Правления 08.09.2022, 29.03.2023, 25.07.2023, 11.09.2023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, 27.12.2023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). Департамент комплаенс-контроля осуществляет функции службы внутреннего контроля, функции по противодействию коррупции и иные функции по осуществлению внутреннего контроля.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Задачи и функции Департамента комплаенс-контроля направлены на выявление, мониторинг и минимизацию регуляторного риска, в том числе обеспечение единых подходов к организации внутреннего контроля в Банке и участниках Банковской группы.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Основной задачей Департамента комплаенс-контроля является обеспечение эффективного управления регуляторным (комплаенс) риском.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целях выполнения указанной задачи Департамент комплаенс-контроля осуществляет следующие основные функции: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выявление и мониторинг регуляторного риска Банка и Банковской группы;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учет событий, связанных с регуляторным риском, определение вероятности их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возникновения и количественная оценка возможных последствий;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анализ внедряемых в Банке новых банковских продуктов, услуг и пла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нируемых методов их реализации, а также банковских процессов, в том числе путем экспертизы проектов внутренних документов Банка, на предмет наличия регуляторного риска и включения в указанные документы необходимых механизмов управления регуляторным риском;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подготов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ка и направление предложений и рекомендаций исполнительным органам Банка, руководителям Банка, осуществляющим курирование работы подразделений Банка, подразделениям Банка по вопросам управления регуляторным риском и его минимизации, контроль их реализации;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координация и участие в разработке комплекса мер, направленных на снижение уровня регуляторного риска в Банке и Банковской группе;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мониторинг эффективности управления регуляторным риском Банка и Банковской группы;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участие в разработке и актуализации (проведение экспертизы) внутренних документов Банка с целью включения в них мер, обеспечивающих функционирование системы внутреннего контроля, включая механизмы управления регуляторным риском, Банка и Банковской группы;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консультирование и информирование подразделений Банка по вопросам организации и функционирования системы внутреннего контроля, включая вопросы управления регуляторным риском;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выявление конфликтов интересов в деятельности Банка и работников Банка, участие в разработке внутренних документов, направленных на его минимизацию;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анализ поступающей от ССП Банка информации по жалобам (обращениям, заявлениям)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клиентов: на предмет показателей динамики жалоб и соблюдения Банком прав клиентов;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участие в разработке внутренних документов, направленных на противодействие коммерческому подкупу и коррупции;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участие в разработке внутренних документов и организации мероприятий, направленных на соблюдение правил корпоративного поведения, норм профессиональной этики;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участие во взаимодействии Банка с надзорными органами, саморегулируемыми организациями, ассоциациями и участниками финансовых рынков в рамках компетенции Подразделения;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мониторинг изменений законодательства Российской Федерации, нормативных актов Банка России, стандартов саморегулируемых о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рганизаций (если такие стандарты или правила являются обязательными для Банка), своевременная разработка/актуализация внутренних документов Банка, регламентирующих вопросы, относящиеся к зоне ответственности Подразделения, в связи с указанными изменениями;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определение порядка организации и технологии проведения работы по обеспечению соответствия Банка требованиям законодательства о налогообложении иностранных счетов, включая разработку и сопровождение внутренних документов в данной области;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организация и проведение работы в целях выполнения Банком требований законодательства Российской Федерации в области персональных данных;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иные функции, связанные с управлением регуляторным риском, предусмотренные внутренними документами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 учетом пункта 4(1) Положения Банка России № 242-П функции Департамента комплаенс-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контроля в области управления регуляторным риском могут выполняться работниками иных структурных подразделений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Банка в соответствии с распределением обязанностей между указанными структурными подразделениями Банка по осуществлению внутреннего контроля, установленным Положением о Департаменте комплаенс-контроля, и полномочиями, определенными внутренними документами.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По состоянию на 01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января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2025 года штатная численность Департамента комплаенс-конт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роля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составила 73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штатных единицы.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Срок работы Департамента комплаенс-контроля: Департамент комплаенс-контроля осуществляет свою деятельность с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12.07.2018. В период с 16.04.2018 по 11.07.2018 в Банке осуществлял свою деятельность Департамент внутреннего контроля и финансового мониторинга. В период с 15.04.2000 по 15.04.2018 в Банке осуществляла свою деятельность Служба внутреннего контроля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  <w:t xml:space="preserve">Контролер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Контролер входит в состав Департамента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комплаенс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-контроля, подотчетен Председателю Правления Банка и независим в своей деятельности от других подразделений Банка, в том числе осуществляющих и оформляющих сделки и операции на рынке ценных бумаг.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Задачи и функции Контролера направлены на контроль за соответствием деятельности Банка в качестве профессионального участника рынка ценных бумаг требованиям законодательства Российской Федерации о ценных бумагах и нормативных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актов Банка России в отношении деятельности Банка на финансовых рынках, законодательства Российской Федерации о защите прав и законных интересов инвесторов на рынке ценных бумаг, законодательства Российской Федерации о рекламе, внутренних документов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highlight w:val="yellow"/>
          <w:u w:val="singl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  <w:t xml:space="preserve">Департамент рисков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yellow"/>
          <w:u w:val="single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yellow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Банке функционирует Департамент рисков, который является самостоятельным структурным подразделением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Департамент рисков осуществляет функции, связанные с управлением рисками в целом по Банку, и иные функции, направленные на решение следующих задач: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Разработка и актуализация внутренних документов Банка, регламентирующих вопросы, относящиеся к зоне ответственности Департамента рисков.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Мониторинг изменен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ий законодательства Российской Федерации, нормативных актов Банка России, своевременная разработка/актуализация внутренних документов Банка, регламентирующих вопросы, относящиеся к зоне ответственности Департамента рисков, в связи с указанными изменениями.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Участие в проектах, относящихся к зоне ответственности.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Подготовка/участие в подготовке ответов на запросы Банка России, других государственных органов и организаций, регулирующих органов, внешних контролирующих органов/аудиторов, а также подразделений Банка в пределах компетенции Департамента рисков.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Формирование методологии управления рисками деятельности Банка. 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Оценка рисков, в том числе на консолидированном уровне, разработка мер по их минимизации.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Идентификация и выявление значимых и потенциальных рисков Банка, оценка и агрегирование рисков Банка, в т.ч. в рамках проведения экспертизы сделок, несущих риски.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Оценка потребности Банка в капитале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для покрытия рисков (за исключением расчета показателей достаточности капитала в соответствии с требованиями Банка России), включая оценку плановых (целевых) уровней и структуры рисков, исходя из показателей развития бизнеса, предусмотренных бизнес-планом.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Последующий контроль соблюдения лимитов рисков и контроль риск-аппетита (за исключением значений обязательных нормативов достаточности капитала Банка).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наличии структурного подразделения (должностного лица), ответственного за организацию и осуществление внутреннего аудита, а также задачах и функциях указанного структурного подразделения (должностного лица):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  <w:t xml:space="preserve">Служба внутреннего аудита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Служба внутреннего аудита – подразделение, созданное для осуществления внутреннего контроля в Банке.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Служба внутреннего аудита осуществляет свою деятельность в соответствии с Положением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 Службе внутреннего аудита (утверждено решением Наблюдательного совета АО «Россельхозбанк», Протокол № 14 от 30.09.2014, изменения утверждены решением Наблюдательного совета АО «Россельхозбанк», Протокол № 21 от 16.10.2015, Протокол № 18 от 25.09.2018). 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Положением о Службе внутреннего аудита к задачам Службы внутреннего аудита отнесены: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контроль за функционированием системы внутреннего контроля и системы управления рисками Банка и организаций Группы Банка;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мониторинг системы внутреннего контроля Банка. 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Исходя из поставленных целей и задач, за Службой внутреннего аудита закреплены следующие функции: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и оценка эффективности системы внутреннего контроля в целом, выполнения решений органов управления Банка (Общего собрания акционеров Банка, Наблюдательного совета Банка, Правления, Председателя Правления Банка);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эффективности методологии оценки банковских рисков и процед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ур управления банковскими рисками, установленных внутренними документами Банка (методиками, программами, правилами, порядками и процедурами совершения банковских операций и сделок, управления банковскими рисками), и полноты применения указанных документов;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надежности функционирования системы внутреннего контроля за использованием автоматизированных информационных систем, включая контроль целостности баз данных и их защиты от несанкционированного доступа и (или) использования, с учето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 мер, принятых на случай нестандартных и чрезвычайных ситуаций в соответствии с планом действий, направленных на обеспечение непрерывности деятельности и (или) восстановление деятельности Банка в случае возникновения нестандартных и чрезвычайных ситуаций;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и тестирование достоверности, полноты и своевременности бухгалтерского учета и отчетности, а также надежности (включая достоверность, полноту и своевременность) сбора и представления информации и отчетности;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применяемых способов (методов) обеспечения сохранности имущества Банка;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оценка экономической целесообразности и эффективности совершаемых Банком операций и других сделок;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процессов и процедур внутреннего контроля;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деятельности подразделения Банка, осуществляющего функции службы внутреннего контроля, и подразделений по управлению рисками Банка;</w:t>
      </w:r>
      <w:r>
        <w:rPr>
          <w:rFonts w:ascii="Times New Roman" w:hAnsi="Times New Roman" w:cs="Times New Roman"/>
          <w:bCs/>
          <w:highlight w:val="white"/>
          <w14:ligatures w14:val="none"/>
        </w:rPr>
      </w:r>
      <w:r>
        <w:rPr>
          <w:rFonts w:ascii="Times New Roman" w:hAnsi="Times New Roman" w:cs="Times New Roman"/>
          <w:bCs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иные функции, предусмотренные внутренними документами Банка.</w:t>
      </w:r>
      <w:r>
        <w:rPr>
          <w:rFonts w:ascii="Times New Roman" w:hAnsi="Times New Roman" w:cs="Times New Roman"/>
          <w:bCs/>
          <w:highlight w:val="white"/>
          <w14:ligatures w14:val="none"/>
        </w:rPr>
      </w:r>
      <w:r>
        <w:rPr>
          <w:rFonts w:ascii="Times New Roman" w:hAnsi="Times New Roman" w:cs="Times New Roman"/>
          <w:bCs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 января 2025 года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штатная численность Службы внутреннего аудита составила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126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штатную единицу.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hd w:val="clear" w:color="auto" w:fill="ffffff"/>
        <w:tabs>
          <w:tab w:val="left" w:pos="709" w:leader="none"/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bCs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bCs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bCs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наличии и компетенции ревизионной комиссии (ревизора):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осуществления контроля за финансово-хозяйственной деятельностью Банка общим собранием акционеров Банка избирается Ревизионная комиссия Банка. Количественный со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став Ревизионной комиссии определяется общим собранием акционеров Банка, но не менее трех человек. Члены Ревизионной комиссии Банка не могут быть одновременно членами Наблюдательного совета Банка, а также занимать иные должности в органах управления Банка.</w:t>
      </w:r>
      <w:r>
        <w:rPr>
          <w:rFonts w:ascii="Times New Roman" w:hAnsi="Times New Roman" w:cs="Times New Roman"/>
          <w:bCs/>
          <w:highlight w:val="white"/>
          <w14:ligatures w14:val="none"/>
        </w:rPr>
      </w:r>
      <w:r>
        <w:rPr>
          <w:rFonts w:ascii="Times New Roman" w:hAnsi="Times New Roman" w:cs="Times New Roman"/>
          <w:bCs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Из своего состава Ревизионная комиссия избирает Председателя и секретаря Ревизионной комиссии.</w:t>
      </w:r>
      <w:r>
        <w:rPr>
          <w:rFonts w:ascii="Times New Roman" w:hAnsi="Times New Roman" w:cs="Times New Roman"/>
          <w:bCs/>
          <w:highlight w:val="white"/>
          <w14:ligatures w14:val="none"/>
        </w:rPr>
      </w:r>
      <w:r>
        <w:rPr>
          <w:rFonts w:ascii="Times New Roman" w:hAnsi="Times New Roman" w:cs="Times New Roman"/>
          <w:bCs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non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Компетенция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highlight w:val="none"/>
          <w:u w:val="single"/>
          <w14:ligatures w14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Ревизионная комиссия Банка осуществляет проверку (ревизию) финансово-хозяйственной деятельности Банка по итогам его деятельности за год, а также может осуществлят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ь проверки (ревизии) во всякое время по своей инициативе, по решению общего собрания акционеров Банка, Наблюдательного совета Банка или по требованию акционера (акционеров) Банка, владеющего в совокупности не менее чем 10 процентами голосующих акций Банка.</w:t>
      </w:r>
      <w:r>
        <w:rPr>
          <w:rFonts w:ascii="Times New Roman" w:hAnsi="Times New Roman" w:cs="Times New Roman"/>
          <w:bCs/>
          <w:highlight w:val="white"/>
          <w14:ligatures w14:val="none"/>
        </w:rPr>
      </w:r>
      <w:r>
        <w:rPr>
          <w:rFonts w:ascii="Times New Roman" w:hAnsi="Times New Roman" w:cs="Times New Roman"/>
          <w:bCs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Ревизионная комиссия Банка предоставляет общему собранию акционеров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отчет о проведенной ревизии, а также заключение о соответствии представленных на утверждение годового отчета и годовой бухгалтерской (финансовой) отчетности Банка действительному состоянию дел в Банке с рекомендациями по устранению выявленных недостатков. </w:t>
      </w:r>
      <w:r>
        <w:rPr>
          <w:rFonts w:ascii="Times New Roman" w:hAnsi="Times New Roman" w:cs="Times New Roman"/>
          <w:bCs/>
          <w:highlight w:val="white"/>
          <w14:ligatures w14:val="none"/>
        </w:rPr>
      </w:r>
      <w:r>
        <w:rPr>
          <w:rFonts w:ascii="Times New Roman" w:hAnsi="Times New Roman" w:cs="Times New Roman"/>
          <w:bCs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результат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ам проверки при возникновении угрозы интересам Банка или его вкладчикам, или выявлении злоупотреблений должностных лиц, Ревизионная комиссия вправе потребовать созыва внеочередного общего собрания акционеров Банка в соответствии с установленными правилами.</w:t>
      </w:r>
      <w:r>
        <w:rPr>
          <w:rFonts w:ascii="Times New Roman" w:hAnsi="Times New Roman" w:cs="Times New Roman"/>
          <w:bCs/>
          <w:highlight w:val="white"/>
          <w14:ligatures w14:val="none"/>
        </w:rPr>
      </w:r>
      <w:r>
        <w:rPr>
          <w:rFonts w:ascii="Times New Roman" w:hAnsi="Times New Roman" w:cs="Times New Roman"/>
          <w:bCs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политике эмитента в области управления рисками, внутреннего контроля и внутреннего аудита, а также о наличии внутреннего документа эмитента, устанавливающего правила по предотвращению неправомерного использования конфиденциальной и инсайдерской информации: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Внутренний контроль осуществляется субъектами системы внутреннего контроля в соответствии с полномочиями, определенными Уставом и внутренними документами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АО «Россельхозбанк» действует комплекс внутренних документов по системе внутреннего контроля, принятых в соответствии с Приложением 2 к Положению Банка России № 242-П. Деятельность Департамента комплаенс-контроля и Службы внутреннего аудита АО «Р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оссельхозбанк» регламентируется принятыми согласно Положению Банка России № 242-П соответственно Положением о Департаменте комплаенс-контроля и Положением о Службе внутреннего аудита Банка. Также Наблюдательным советом Банка утверждены следующие документы: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1. Политика в области управления регуляторным риском АО «Россельхозбанк» (Протокол заседания Наблюдательного совета АО «Россельхозбанк» от 15.09.2015 № 18, приказ АО «Россельхозбанк» от 29.09.2015 № 809-ОД);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2. Порядок предотвращения конфликтов интересов АО «Россельхозбанк» № 538-П (Протокол заседания Наблюдательного совета АО «Россельхозбанк» от 25.12.2015 № 27, приказ АО «Россельхозбанк» от 30.12.2015 № 1070-ОД).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Функциониров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ание системы управления рисками Банка осуществляется в соответствии с Указанием Банка России от 15.04.2015 № 3624-У «О требованиях к системе управления рисками и капиталом кредитной организации и банковской группы» на основании внутренних документов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Наблюдательным советом Банка утверждены основополагающие документы по управлению рисками Банка: Политика управления рисками АО «Россельхозбанк» и Стратегия управления рисками и капиталом АО «Россельхозбанк».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Оперативное управление 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исками ос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уществляется Правлением, Председателем Правления, Комитетом по управлению рисками и иными коллегиальными рабочими органами Банка, а также отдельными структурными подразделениями и должностными лицами Банка в соответствии с предоставленными им полномочиями.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Независимый анализ и оценку рисков осуществляют профильные подразделения Банка – Департамент рисков и службы оценки и контроля рисков в региональных филиалах и единых сервисных центрах Банка. В компетенцию Департамента рисков входит методологическое об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еспечение системы управления рисками, внедрение принципов и методов идентификации, оценки, мониторинга и контроля финансовых рисков (кредитный, рыночный, процентный, риск потери ликвидности), а также операционного риска, в том числе на региональном уровне.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Кроме того, функции по управлению отдельными видами рисков осуществляют прочие профильные подразделения Банка: Правовой департамент, Департамент стратегического развития,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Департамент маркетинга и коммуникаций, Департамент внутреннего казначейства, Департамент комплаенс-контроля.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color w:val="000000"/>
          <w:highlight w:val="yellow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bCs/>
          <w:color w:val="000000"/>
          <w:highlight w:val="yellow"/>
          <w14:ligatures w14:val="none"/>
        </w:rPr>
      </w:r>
      <w:r>
        <w:rPr>
          <w:rFonts w:ascii="Times New Roman" w:hAnsi="Times New Roman" w:eastAsia="Calibri" w:cs="Times New Roman"/>
          <w:bCs/>
          <w:color w:val="000000"/>
          <w:highlight w:val="yellow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целях предотвращения неправомерного использования конфиденциальной и инсайдерской информации в АО «Россельхозбанк» утверждены внутренние документы: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Условия совершения операций с финансовыми инструментами инсайдерами и связанными с ними лицами (Протокол заседания Наблюдательного совета                                            АО «Россельхозбанк» от 26.06.2019 № 15);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Порядок раскрытия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инсайдерской информации (отдельных видов инсайдерской информации) АО «Россельхозбанк», не включенной в утвержденный Банком России перечень инсайдерской информации № 651-П (Протокол заседания Наблюдательного совета АО «Россельхозбанк» от 30.09.2019 № 20)*;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Правила внутреннего контроля АО «Россельхозбанк» по предотвращению, выявлению и пресечению неправомерного использования инсайдерской информации и (или) манипулирования рынком № 665-П (Приказ АО «Россельхозбанк» от 17.10.2022 № 1995-ОД)*;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Пере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чень информации, составляющей коммерческую тайну АО «Россельхозбанк» (Приказ АО «Россельхозбанк» от 17.06.2020 № 930-ОД) и Инструкция по соблюдению режима коммерческой тайны в АО «Россельхозбанк» № 12-И (Приказ АО «Россельхозбанк» от 17.06.2020 № 930-ОД)*;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Порядок защиты конфиденциальных сведений, не отнесенных к коммерческой тайне, и персональных данных в АО «Россельхозбанк» № 203-П (Приказ                                                АО «Россельхозбанк» от 02.06.2020 № 811-ОД)*.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*Данные документы не размещены в свободном доступе в сети Интернет ввиду того, что они содержат информацию, являющуюся коммерческой тайной, и ее раскрытие может негативно повлиять на конкурентоспособность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Адрес страницы в сети интернет, на которой в свободном доступе размещен Перечень инсайдерской информации АО «Россельхозбанк», порядок и сроки ее раскрытия (Приказ АО «Россельхозбанк» от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14.05.2024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№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747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-ОД): </w:t>
      </w:r>
      <w:hyperlink r:id="rId14" w:tooltip="https://www.rshb.ru/insider/." w:history="1">
        <w:r>
          <w:rPr>
            <w:rFonts w:ascii="Times New Roman" w:hAnsi="Times New Roman" w:eastAsia="Calibri" w:cs="Times New Roman"/>
            <w:color w:val="000000"/>
            <w:sz w:val="24"/>
            <w:szCs w:val="24"/>
            <w:highlight w:val="white"/>
          </w:rPr>
          <w:t xml:space="preserve"> https://www.rshb.ru/about/insider.</w:t>
        </w:r>
      </w:hyperlink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  <w:t xml:space="preserve">Политика Банка в области управления рисками строится на следующих принципах: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tabs>
          <w:tab w:val="left" w:pos="1276" w:leader="none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Учет всей совокупности рисков при принятии решений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Принятие Банком управленческих решен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ий и решений о проведении операций, несущих риски, осуществляется после всестороннего анализа возникающих рисков (включая идентификацию и оценку рисков) с учетом оценки возможного влияния на совокупный объем рисков и определения методов управления рисками.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Проведение Банком опер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аций, несущих риски, осуществляется в рамках требований, установленных внутренними документами и решениями органов управления и рабочих коллегиальных органов Банка. Порядок проведения операций включает процедуры управления рисками соответствующих операций.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Независимость подразделений управления рисками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Полномочия по принятию решений о совершении операций, несущих риски, и управлению 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исками разделяются между органами управления, коллегиальными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 рабочими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органами, подразделениями и работниками Банка. В функциональных моделях и организационной структуре Банка выделены подразделения/работники, ответственные за выполнение следующих функций: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осуществление операций, несущих риски;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бухгалтерский учет операций;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управление рисками, в т.ч. отдельными видами рисков;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независимая оценка, мониторинг и контроль рисков.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Подразделения/работники Банка, ответственные за управление, независимую оценку и контроль рисков, включены в процесс принятия как стратегических, так и операционных решений.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Принцип «трех линий защиты» 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Бизнес-подразделения Банка (первая линия защит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ы) при рассмотрении и совершении операций, несущих риски, следуют поставленным целям по соотношению доходности и риска, учитывают профили рисков клиентов/операций, участвуют в идентификации и оценке рисков, соблюдают требования внутренних документов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Подразделения Банка, ответственные за управление, независимую оценку и контроль рисков (вторая линия защиты), определяют регламентные процедуры, предусматри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вающие формирование принципов и стандартов управления рисками, использование инструментов для минимизации/снижения принимаемых рисков, проводят экспертизу с целью их идентификации, оценку, мониторинг уровня рисков и готовят отчетность о принимаемых рисках.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Служба внутреннего аудита/подразделение внутреннего аудита Банка (третья линия защиты) осуществляет независимую оценку соответствия системы управления рисками Банка установленным стандартам, оценку решений по принятию рисков.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Сочетание централизованного и децентрализованного управления рисками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Управление рисками Банка осуществляется с использованием централизованного и децентрализованного подходов.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Централизованный подход означает, что участники Группы самостоятельно не осуществляют управления рисками, управление рисками участников Группы осуществляет Банк.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Децентрализованный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подход означает, что участники Группы самостоятельно осуществляют управление рисками в рамках подходов и ограничений, установленных внутренними документами участников Группы и решениями органов управления и рабочих коллегиальных органов участников Группы.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Управление рисками на уровне Группы в целом осуществляет Банк.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Обеспечение необходимыми ресурсами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Банк обеспечивают функционирование системы управления рисками достаточными ресур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сами для осуществления оценки и контроля рисков, в т.ч. квалифицированными специалистами и работниками, техническими средствами, достаточными для обеспечения необходимому количеству пользователей доступа к информационным системам и информационным ресурсам.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Инфраструктура уп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равления рисками (в т.ч. информационные и автоматизированные системы) учитывает направления деятельности Банка, сложность и виды совершаемых операций, территориальное расположение и обеспечивает своевременную идентификацию и эффективное управление рисками.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Совершенствование системы управления рисками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Система управления рисками Банка совершенствуется на постоянной основе с учетом: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возможных изменений стратегии развития Банка;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нормативно-правовых актов Российской Федерации, регулирующих требования к системе управления рисками;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требований и рекомендаций Банка России по организации системы управления рисками и ВПОДК;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положений Базель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II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/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III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 и лучших банковских практик по организации управления рисками.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137"/>
        <w:numPr>
          <w:numId w:val="5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Банк не реже одного раза в год оценивают соответствие системы управления рисками текущим условиям их деятельности, в т.ч. проводят ее анализ на предмет охвата всех операций, несущих риски, и проводят актуализацию системы управления рисками.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1276" w:leader="none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В период между отчетной датой (01.01.202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5) и датой составления консолидированной финансовой отчетности Группы за отчетный год, закончившийся 31 декабря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4 года, со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ставленной в соответствии с Международными стандартами финансовой отчетности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7.03.2025)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в сос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таве информации, приведенной в пункте 2.3 изменения не происходили.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пункту 2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Постановлению Правительства Российской Федерации от 04.07.2023 № 1102, информация в данном пун</w:t>
      </w:r>
      <w:r>
        <w:rPr>
          <w:rFonts w:ascii="Times New Roman" w:hAnsi="Times New Roman" w:cs="Times New Roman"/>
          <w:sz w:val="24"/>
          <w:szCs w:val="24"/>
        </w:rPr>
        <w:t xml:space="preserve">кте не раскрывается,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Эмитент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подконтрольные эмитенту организации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не имеют перед работниками соглашений или обязательств,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предусматривающих право участия работников Эмитента и работников подконтрольных Эмитенту организаций в его уставном капитале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  <w:t xml:space="preserve">Сведения о соглашениях или обязательствах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Отсутствуют.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  <w:t xml:space="preserve">Сведения о предоставлении или возможности предоставления работникам эмитента и работникам подконтрольных эмитенту организаций опционов эмитента: 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Предоставление или возможность предоставления работникам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эмитента и работникам подконтрольных эмитенту организаций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опционов Эмитента не предусмотрена.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В период между отчетной датой (01.01.202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5) и датой составления консолидированной финансовой отчетности Группы за отчетный год, закончившийся 31 декабря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4 года, составленной в соответствии с Международными стандартами финансовой отчетност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17.03.2025)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составе информации, приведенной в пункте 2.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изменения не происходили.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9" w:name="Par292"/>
      <w:bookmarkEnd w:id="19"/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3.1. Сведения об общем количестве акционеров (участников, членов)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1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</w:rPr>
        <w:t xml:space="preserve">пункт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Российской Федерации от 04.07.2023 № 1102, информация в данном разделе не раскрывается, так как в отношении 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действуют ограничительные меры со стороны </w:t>
      </w:r>
      <w:r>
        <w:rPr>
          <w:rFonts w:ascii="Times New Roman" w:hAnsi="Times New Roman" w:cs="Times New Roman"/>
          <w:sz w:val="24"/>
          <w:szCs w:val="24"/>
        </w:rPr>
        <w:t xml:space="preserve">Великобритании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США, стран ЕС</w:t>
      </w:r>
      <w:r>
        <w:rPr>
          <w:rFonts w:ascii="Times New Roman" w:hAnsi="Times New Roman" w:cs="Times New Roman"/>
          <w:sz w:val="24"/>
          <w:szCs w:val="24"/>
        </w:rPr>
        <w:t xml:space="preserve">, Швейцарии,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Канады, Австралии, Японии и Н</w:t>
      </w:r>
      <w:r>
        <w:rPr>
          <w:rFonts w:ascii="Times New Roman" w:hAnsi="Times New Roman" w:cs="Times New Roman"/>
          <w:sz w:val="24"/>
          <w:szCs w:val="24"/>
        </w:rPr>
        <w:t xml:space="preserve">овой Зеландии</w:t>
      </w:r>
      <w:r>
        <w:rPr>
          <w:rFonts w:ascii="Times New Roman" w:hAnsi="Times New Roman" w:cs="Times New Roman"/>
          <w:sz w:val="24"/>
          <w:szCs w:val="24"/>
        </w:rPr>
        <w:t xml:space="preserve">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highlight w:val="white"/>
        </w:rPr>
      </w:r>
      <w:bookmarkStart w:id="21" w:name="Par367"/>
      <w:r>
        <w:rPr>
          <w:highlight w:val="white"/>
        </w:rPr>
      </w:r>
      <w:bookmarkEnd w:id="21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1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</w:rPr>
        <w:t xml:space="preserve">пункт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Российской Федерации от 04.07.2023 № 1102, информация в данном разделе не раскрывается, так как в отношении 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действуют ограничительные меры со стороны </w:t>
      </w:r>
      <w:r>
        <w:rPr>
          <w:rFonts w:ascii="Times New Roman" w:hAnsi="Times New Roman" w:cs="Times New Roman"/>
          <w:sz w:val="24"/>
          <w:szCs w:val="24"/>
        </w:rPr>
        <w:t xml:space="preserve">Великобритании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США, стран ЕС</w:t>
      </w:r>
      <w:r>
        <w:rPr>
          <w:rFonts w:ascii="Times New Roman" w:hAnsi="Times New Roman" w:cs="Times New Roman"/>
          <w:sz w:val="24"/>
          <w:szCs w:val="24"/>
        </w:rPr>
        <w:t xml:space="preserve">, Швейцарии,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Канады, Австралии, Японии и Н</w:t>
      </w:r>
      <w:r>
        <w:rPr>
          <w:rFonts w:ascii="Times New Roman" w:hAnsi="Times New Roman" w:cs="Times New Roman"/>
          <w:sz w:val="24"/>
          <w:szCs w:val="24"/>
        </w:rPr>
        <w:t xml:space="preserve">овой Зеландии</w:t>
      </w:r>
      <w:r>
        <w:rPr>
          <w:rFonts w:ascii="Times New Roman" w:hAnsi="Times New Roman" w:cs="Times New Roman"/>
          <w:sz w:val="24"/>
          <w:szCs w:val="24"/>
        </w:rPr>
        <w:t xml:space="preserve">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highlight w:val="white"/>
        </w:rPr>
      </w:r>
      <w:bookmarkStart w:id="22" w:name="Par398"/>
      <w:r>
        <w:rPr>
          <w:highlight w:val="white"/>
        </w:rPr>
      </w:r>
      <w:bookmarkEnd w:id="22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(«золотой акции»)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1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</w:rPr>
        <w:t xml:space="preserve">пункт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Российской Федерации от 04.07.2023 № 1102, информация в данном разделе не раскрывается, так как в отношении 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действуют ограничительные меры со стороны </w:t>
      </w:r>
      <w:r>
        <w:rPr>
          <w:rFonts w:ascii="Times New Roman" w:hAnsi="Times New Roman" w:cs="Times New Roman"/>
          <w:sz w:val="24"/>
          <w:szCs w:val="24"/>
        </w:rPr>
        <w:t xml:space="preserve">Великобритании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США, стран ЕС</w:t>
      </w:r>
      <w:r>
        <w:rPr>
          <w:rFonts w:ascii="Times New Roman" w:hAnsi="Times New Roman" w:cs="Times New Roman"/>
          <w:sz w:val="24"/>
          <w:szCs w:val="24"/>
        </w:rPr>
        <w:t xml:space="preserve">, Швейцарии,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Канады, Австралии, Японии и Н</w:t>
      </w:r>
      <w:r>
        <w:rPr>
          <w:rFonts w:ascii="Times New Roman" w:hAnsi="Times New Roman" w:cs="Times New Roman"/>
          <w:sz w:val="24"/>
          <w:szCs w:val="24"/>
        </w:rPr>
        <w:t xml:space="preserve">овой Зеландии</w:t>
      </w:r>
      <w:r>
        <w:rPr>
          <w:rFonts w:ascii="Times New Roman" w:hAnsi="Times New Roman" w:cs="Times New Roman"/>
          <w:sz w:val="24"/>
          <w:szCs w:val="24"/>
        </w:rPr>
        <w:t xml:space="preserve">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3.4. Сделки эмитента, в совершении которых имелась заинтересованность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приводится. 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кции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Эмитента 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допущены к организованным торгам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highlight w:val="white"/>
        </w:rPr>
      </w:r>
      <w:bookmarkStart w:id="23" w:name="Par409"/>
      <w:r>
        <w:rPr>
          <w:highlight w:val="white"/>
        </w:rPr>
      </w:r>
      <w:bookmarkEnd w:id="23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3.5. Крупные сделки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приводится. Акции Эмитента не допущены к организованным торгам.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Дополнительные сведения об эмитенте и о размещенных им ценных бумагах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4" w:name="Par423"/>
      <w:bookmarkEnd w:id="24"/>
      <w:r>
        <w:rPr>
          <w:rFonts w:ascii="Times New Roman" w:hAnsi="Times New Roman" w:cs="Times New Roman"/>
          <w:b/>
          <w:sz w:val="24"/>
          <w:szCs w:val="24"/>
        </w:rPr>
        <w:t xml:space="preserve">4.1. Подконтрольные эмитенту организации, имеющие для него существенное значение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134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1134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основе анализа консолидированной финансовой отчетности Группы за 202</w:t>
      </w:r>
      <w:r>
        <w:rPr>
          <w:b w:val="0"/>
          <w:sz w:val="24"/>
          <w:szCs w:val="24"/>
        </w:rPr>
        <w:t xml:space="preserve">4 год, составленной в соответствии с Международными стандартами финансовой отчетности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Банк не имеет подконтрольн</w:t>
      </w:r>
      <w:r>
        <w:rPr>
          <w:b w:val="0"/>
          <w:sz w:val="24"/>
          <w:szCs w:val="24"/>
        </w:rPr>
        <w:t xml:space="preserve">ых организаций, имеющих для него существенное значение (на каждую из которых по данным консолидированной финансовой отчетности эмитента приходится не менее 5 процентов консолидированной стоимости активов или не менее 5 процентов консолидированного дохода).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1134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Поскольку Банк не имеет подконтрольных организаций, имеющих для него существенное значение, информация по п.</w:t>
      </w:r>
      <w:r>
        <w:rPr>
          <w:b w:val="0"/>
          <w:sz w:val="24"/>
          <w:szCs w:val="24"/>
        </w:rPr>
        <w:t xml:space="preserve"> 1.5, </w:t>
      </w:r>
      <w:r>
        <w:rPr>
          <w:b w:val="0"/>
          <w:sz w:val="24"/>
          <w:szCs w:val="24"/>
        </w:rPr>
        <w:t xml:space="preserve">1.6</w:t>
      </w:r>
      <w:r>
        <w:rPr>
          <w:b w:val="0"/>
          <w:sz w:val="24"/>
          <w:szCs w:val="24"/>
        </w:rPr>
        <w:t xml:space="preserve">.</w:t>
      </w:r>
      <w:r>
        <w:rPr>
          <w:b w:val="0"/>
          <w:sz w:val="24"/>
          <w:szCs w:val="24"/>
        </w:rPr>
        <w:t xml:space="preserve">, 1.7.1</w:t>
      </w:r>
      <w:r>
        <w:rPr>
          <w:b w:val="0"/>
          <w:sz w:val="24"/>
          <w:szCs w:val="24"/>
        </w:rPr>
        <w:t xml:space="preserve">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</w:t>
      </w:r>
      <w:r>
        <w:rPr>
          <w:b w:val="0"/>
          <w:sz w:val="24"/>
          <w:szCs w:val="24"/>
        </w:rPr>
        <w:t xml:space="preserve"> 1.7.3</w:t>
      </w:r>
      <w:r>
        <w:rPr>
          <w:b w:val="0"/>
          <w:sz w:val="24"/>
          <w:szCs w:val="24"/>
        </w:rPr>
        <w:t xml:space="preserve">.</w:t>
      </w:r>
      <w:r>
        <w:rPr>
          <w:b w:val="0"/>
          <w:sz w:val="24"/>
          <w:szCs w:val="24"/>
        </w:rPr>
        <w:t xml:space="preserve"> раскрывается в отношении Банка на основе бухгалтерской (финансовой) отчетности.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период между отчетной датой (01.01.2025) и датой составления консолид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ированной финансовой отчетности Группы за отчетный год, закончившийся 31 декабря 2024 года, составленной в соответствии с Международными стандартами финансовой от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четности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(17.03.2025)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составе информации, приведенной в пункте 4.1 изменения не происходили.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Дополнительные сведения, раскрываемые эмитентами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зеленых облигаций, социальных облигаций, облигаций устойчивого развития, адаптационных облигаций.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Эмитент не идентифицирует выпуск облигаций или облигации, размещаемые в рамках программы облигаций, с использованием слов «зеленые облигации» и (или) «социальные облигации», и (или) «облигации устойчивого развития», и (или) «адаптационные облигации».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4.2.1. Инфор</w:t>
      </w:r>
      <w:r>
        <w:rPr>
          <w:rFonts w:ascii="Times New Roman" w:hAnsi="Times New Roman" w:cs="Times New Roman"/>
          <w:b/>
          <w:sz w:val="24"/>
          <w:szCs w:val="24"/>
        </w:rPr>
        <w:t xml:space="preserve">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</w:r>
      <w:r>
        <w:rPr>
          <w:rFonts w:ascii="Calibri,Bold" w:hAnsi="Calibri,Bold" w:cs="Calibri,Bold"/>
          <w:b/>
          <w:bCs/>
        </w:rPr>
      </w:r>
      <w:r>
        <w:rPr>
          <w:rFonts w:ascii="Calibri,Bold" w:hAnsi="Calibri,Bold" w:cs="Calibri,Bold"/>
          <w:b/>
          <w:bCs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</w:r>
      <w:r>
        <w:rPr>
          <w:rFonts w:ascii="Calibri,Bold" w:hAnsi="Calibri,Bold" w:cs="Calibri,Bold"/>
          <w:b/>
          <w:bCs/>
        </w:rPr>
      </w:r>
      <w:r>
        <w:rPr>
          <w:rFonts w:ascii="Calibri,Bold" w:hAnsi="Calibri,Bold" w:cs="Calibri,Bold"/>
          <w:b/>
          <w:bCs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4.2(1). Дополнительные сведения, раскрываемые эмитентами инфраструктурных облигаций.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4.2(1).1. Информация о целевом использовании денежных средств, полученных от размещения инфраструктурных облигаций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4.2(1).2. Информация о реализации инфраструктурного проекта.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4.2(2). Дополнительные сведения, раскрываемые эмитентами облигаций, связанных с целями устойчивого развития.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4.2(2).1. Описание стратегии устойчивого развития эмитента.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4.2(2).2. Информация о текущем (фактическом) значении ключевого показателя (показателей) деятельности эмитента, связанного с достижением целей устойчивого развития.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4.2(3). Дополнительные сведения, раскрываемые эмитентами облигаций климатического перехода.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4.2(3).1. Описание стратегии климатического перехода эмитента.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4.2(3).2. Информация о реализации стратегии климатического перехода эмитента.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Облигации с обеспечением у Эмитента отсутствуют.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4.3.1. Дополнительные сведения об ипотечном покрытии по облигациям эмитента с ипотечным покрытием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Эмитент не размещал облигации с ипотечным покрытием.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Эмитент не размещал облигации с залоговым обеспечением денежными требованиями.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927"/>
      <w:bookmarkEnd w:id="25"/>
      <w:r>
        <w:rPr>
          <w:rFonts w:ascii="Times New Roman" w:hAnsi="Times New Roman" w:cs="Times New Roman"/>
          <w:b/>
          <w:sz w:val="24"/>
          <w:szCs w:val="24"/>
        </w:rPr>
        <w:t xml:space="preserve">4.4. Сведения об объявленных и выплаченных дивидендах по акциям эмитента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не приводится. Акции Эмитента не допущены к организованным торгам.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4.5. Сведения об организациях, осуществляющих учет прав на эмиссионные ценные бумаги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4.5.1 Сведения о регистраторе, осуществляющем ведение реестра владельцев ценных бумаг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1128"/>
        <w:ind w:firstLine="709"/>
        <w:rPr>
          <w:b/>
          <w:bCs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</w:r>
      <w:r>
        <w:rPr>
          <w:b/>
          <w:bCs/>
          <w:i/>
          <w:sz w:val="24"/>
          <w:szCs w:val="24"/>
          <w:highlight w:val="yellow"/>
        </w:rPr>
      </w:r>
      <w:r>
        <w:rPr>
          <w:b/>
          <w:bCs/>
          <w:i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1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</w:rPr>
        <w:t xml:space="preserve">пункт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</w:t>
      </w: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Российской Федерации от 04.07.2023 № 1102, информация в данном разделе не раскрывается, так как в отношении 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действуют ограничительные меры со стороны </w:t>
      </w:r>
      <w:r>
        <w:rPr>
          <w:rFonts w:ascii="Times New Roman" w:hAnsi="Times New Roman" w:cs="Times New Roman"/>
          <w:sz w:val="24"/>
          <w:szCs w:val="24"/>
        </w:rPr>
        <w:t xml:space="preserve">Великобритании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США, стран ЕС</w:t>
      </w:r>
      <w:r>
        <w:rPr>
          <w:rFonts w:ascii="Times New Roman" w:hAnsi="Times New Roman" w:cs="Times New Roman"/>
          <w:sz w:val="24"/>
          <w:szCs w:val="24"/>
        </w:rPr>
        <w:t xml:space="preserve">, Швейцарии,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Канады, Австралии, Японии и Н</w:t>
      </w:r>
      <w:r>
        <w:rPr>
          <w:rFonts w:ascii="Times New Roman" w:hAnsi="Times New Roman" w:cs="Times New Roman"/>
          <w:sz w:val="24"/>
          <w:szCs w:val="24"/>
        </w:rPr>
        <w:t xml:space="preserve">овой Зеландии</w:t>
      </w:r>
      <w:bookmarkStart w:id="0" w:name="undefined"/>
      <w:bookmarkEnd w:id="0"/>
      <w:r>
        <w:rPr>
          <w:rFonts w:ascii="Times New Roman" w:hAnsi="Times New Roman" w:cs="Times New Roman"/>
          <w:sz w:val="24"/>
          <w:szCs w:val="24"/>
        </w:rPr>
        <w:t xml:space="preserve">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128"/>
        <w:ind w:firstLine="709"/>
        <w:rPr>
          <w:b/>
          <w:bCs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</w:r>
      <w:r>
        <w:rPr>
          <w:b/>
          <w:bCs/>
          <w:i/>
          <w:sz w:val="24"/>
          <w:szCs w:val="24"/>
          <w:highlight w:val="yellow"/>
        </w:rPr>
      </w:r>
      <w:r>
        <w:rPr>
          <w:b/>
          <w:bCs/>
          <w:i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4.5.2. Сведения о депозитарии, осуществляющем централизованный учет прав на ценные бумаги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обращении находятся ценные бумаги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митента</w:t>
      </w:r>
      <w:r>
        <w:rPr>
          <w:rFonts w:ascii="Times New Roman" w:hAnsi="Times New Roman" w:cs="Times New Roman"/>
          <w:sz w:val="24"/>
          <w:szCs w:val="24"/>
        </w:rPr>
        <w:t xml:space="preserve"> с централизованным учетом прав.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</w:r>
      <w:r>
        <w:rPr>
          <w:rFonts w:ascii="Times New Roman" w:hAnsi="Times New Roman" w:cs="Times New Roman"/>
          <w:b/>
          <w:i/>
          <w:sz w:val="24"/>
        </w:rPr>
      </w:r>
      <w:r>
        <w:rPr>
          <w:rFonts w:ascii="Times New Roman" w:hAnsi="Times New Roman" w:cs="Times New Roman"/>
          <w:b/>
          <w:i/>
          <w:sz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Сведения о депозитарии (депозитариях):</w:t>
      </w:r>
      <w:r>
        <w:rPr>
          <w:rFonts w:ascii="Times New Roman" w:hAnsi="Times New Roman" w:cs="Times New Roman"/>
          <w:b/>
          <w:bCs/>
          <w:i/>
          <w:sz w:val="24"/>
        </w:rPr>
      </w:r>
      <w:r>
        <w:rPr>
          <w:rFonts w:ascii="Times New Roman" w:hAnsi="Times New Roman" w:cs="Times New Roman"/>
          <w:b/>
          <w:bCs/>
          <w:i/>
          <w:sz w:val="24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>
        <w:trPr>
          <w:trHeight w:val="316"/>
        </w:trPr>
        <w:tblPrEx/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фирменное наименование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2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Небанковская кредитная организация акционерное общество «Национальный расчетный депозитарий»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trHeight w:val="267"/>
        </w:trPr>
        <w:tblPrEx/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Сокращенное фирменное наименование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2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НКО АО НРД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trHeight w:val="247"/>
        </w:trPr>
        <w:tblPrEx/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2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105066, г. Москва, ул. Спартаковская, д. 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trHeight w:val="247"/>
        </w:trPr>
        <w:tblPrEx/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112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ИНН: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7702165310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</w:r>
          </w:p>
        </w:tc>
      </w:tr>
      <w:tr>
        <w:trPr>
          <w:trHeight w:val="247"/>
        </w:trPr>
        <w:tblPrEx/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112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ОГРН: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1027739132563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</w:r>
          </w:p>
        </w:tc>
      </w:tr>
    </w:tbl>
    <w:p>
      <w:pPr>
        <w:pStyle w:val="1128"/>
        <w:ind w:firstLine="709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1128"/>
        <w:ind w:firstLine="709"/>
        <w:rPr>
          <w:b/>
          <w:i/>
          <w:sz w:val="24"/>
        </w:rPr>
      </w:pPr>
      <w:r>
        <w:rPr>
          <w:b/>
          <w:i/>
          <w:sz w:val="24"/>
        </w:rPr>
        <w:t xml:space="preserve">Информация о лицензии профессионального участника рынка ценных бумаг на осуществление депозитарной деятельности: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>
        <w:trPr>
          <w:trHeight w:val="311"/>
        </w:trPr>
        <w:tblPrEx/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Номер: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2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045-12042-000100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trHeight w:val="70"/>
        </w:trPr>
        <w:tblPrEx/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2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Style w:val="1138"/>
                <w:rFonts w:ascii="Times New Roman" w:hAnsi="Times New Roman" w:cs="Times New Roman"/>
                <w:b w:val="0"/>
                <w:i w:val="0"/>
                <w:sz w:val="24"/>
              </w:rPr>
              <w:t xml:space="preserve">19.02.2009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</w:r>
          </w:p>
        </w:tc>
      </w:tr>
      <w:tr>
        <w:trPr>
          <w:trHeight w:val="159"/>
        </w:trPr>
        <w:tblPrEx/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действия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лицензии на осуществление депозитарной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2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Style w:val="1138"/>
                <w:rFonts w:ascii="Times New Roman" w:hAnsi="Times New Roman" w:cs="Times New Roman"/>
                <w:b w:val="0"/>
                <w:i w:val="0"/>
                <w:sz w:val="24"/>
              </w:rPr>
              <w:t xml:space="preserve">Без ограничения срока действия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</w:r>
          </w:p>
        </w:tc>
      </w:tr>
      <w:tr>
        <w:trPr>
          <w:trHeight w:val="159"/>
        </w:trPr>
        <w:tblPrEx/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</w:rPr>
              <w:t xml:space="preserve">аименование органа, выдавшего лицензию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2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Style w:val="1138"/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Style w:val="1138"/>
                <w:rFonts w:ascii="Times New Roman" w:hAnsi="Times New Roman" w:cs="Times New Roman"/>
                <w:b w:val="0"/>
                <w:i w:val="0"/>
                <w:sz w:val="24"/>
              </w:rPr>
              <w:t xml:space="preserve">ФСФР России</w:t>
            </w:r>
            <w:r>
              <w:rPr>
                <w:rStyle w:val="1138"/>
                <w:rFonts w:ascii="Times New Roman" w:hAnsi="Times New Roman" w:cs="Times New Roman"/>
                <w:b w:val="0"/>
                <w:i w:val="0"/>
                <w:sz w:val="24"/>
              </w:rPr>
            </w:r>
            <w:r>
              <w:rPr>
                <w:rStyle w:val="1138"/>
                <w:rFonts w:ascii="Times New Roman" w:hAnsi="Times New Roman" w:cs="Times New Roman"/>
                <w:b w:val="0"/>
                <w:i w:val="0"/>
                <w:sz w:val="24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период между отчетной датой (01.01.2025) и датой составления консолид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ированной финансовой отчетности Группы за отчетный год, закончившийся 31 декабря 2024 года, составленной в соответствии с Международными стандартами финансовой отчетности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ffffff" w:themeColor="background1" w:fill="ffffff" w:themeFill="background1"/>
        </w:rPr>
        <w:t xml:space="preserve"> (17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ffffff" w:themeColor="background1" w:fill="ffffff" w:themeFill="background1"/>
        </w:rPr>
        <w:t xml:space="preserve">.03.202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5)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в составе информации, приведенной в пункте 4.5 изменения не происходили.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6" w:name="Par1037"/>
      <w:bookmarkEnd w:id="26"/>
      <w:r>
        <w:rPr>
          <w:rFonts w:ascii="Times New Roman" w:hAnsi="Times New Roman" w:cs="Times New Roman"/>
          <w:b/>
          <w:sz w:val="24"/>
          <w:szCs w:val="24"/>
        </w:rPr>
        <w:t xml:space="preserve">4.6. Информация об аудиторе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в отношении аудитора (аудиторской организации, индивидуального аудитора) эмит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ента, который проводил проверку промежуточной отчетности эмитента, раскрытой 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5004"/>
        <w:gridCol w:w="4352"/>
      </w:tblGrid>
      <w:tr>
        <w:trPr>
          <w:jc w:val="center"/>
          <w:trHeight w:val="450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фирменное наименование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 с ограниченной ответственностью «Центр аудиторских технологий и решений – аудиторские услуги»       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jc w:val="center"/>
          <w:trHeight w:val="167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Сокращенное фирменное наименование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«ЦАТР – аудиторские услуги»</w:t>
            </w:r>
            <w:r>
              <w:rPr>
                <w:rStyle w:val="1188"/>
              </w:rPr>
              <w:footnoteReference w:id="9"/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7709383532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jc w:val="center"/>
          <w:trHeight w:val="249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1027739707203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jc w:val="center"/>
          <w:trHeight w:val="330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аудиторской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115035, Москва, Садовническая набережная,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75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2,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3, 2024 </w:t>
      </w:r>
      <w:r>
        <w:rPr>
          <w:rFonts w:ascii="Times New Roman" w:hAnsi="Times New Roman" w:cs="Times New Roman"/>
          <w:sz w:val="24"/>
          <w:szCs w:val="24"/>
        </w:rPr>
        <w:t xml:space="preserve">и 2025 </w:t>
      </w:r>
      <w:r>
        <w:rPr>
          <w:rFonts w:ascii="Times New Roman" w:hAnsi="Times New Roman" w:cs="Times New Roman"/>
          <w:sz w:val="24"/>
          <w:szCs w:val="24"/>
        </w:rPr>
        <w:t xml:space="preserve">годы.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Аудитор провел аудиторскую проверку в отношении: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годовой бухгалтерской (финансовой) отчетности, составленных на ее основе публикуемых форм Банка за 2022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за 2022 год,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консолидированной финансовой отчетности Группы                                          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2022 год, 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форм бухгалтерской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финансовой) отчетности Банка за 2022 год, подготовленной в соответствии с установленными в Российской Федерации правилами составления бухгалтерской (финансовой) отчетности с учетом требований, содержащихся в принятом Советом директоров Банка России решении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29.12.2022 «О требованиях к раскрытию кре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дитными организациями (головными кредитными организациями банковских групп) отчетности и информации в 2023 году» и изложенных в Информационном письме Банка России от 30.12.2022 № ИН-03-23/158 «О требованиях к раскрытию отчетности и информации в 2023 году»;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годовой бухгалтерской (финансовой) отчетности, составленных на ее основе публикуемых форм Банка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год, 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консолидированной финансовой отчетности Группы                                          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 2023 год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публикуемой отчетности Банка за 2023 год, подготовленной в соответствии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установленными в Российской Федерации правилами составления бухгалтерской (финансовой) отчетности с учетом требований, содержащихся в принятом Советом директоров Банка России решении от 26.12.2023 «О требованиях к раскрытию кредитными организациями (голов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ными кредитными организациями банковских групп) отчетности и информации в 2024 году» и изложенных в Информационном письме Банка России от 16.01.2024 № ИН-03-23/2 «О требованиях к раскрытию и представлению в Банк России отчетности и информации в 2024 году».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годовой бухгалтерской (финансовой) отчетности, составленных на ее основе публикуемых форм Банка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консолидированной финансовой отчетности Группы АО «Россельхозбанк»                 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год, 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консолидированной финансовой отчетности Группы                                           АО «Россельхозбанк»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 2024 год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публикуемой отчетности Банка за 2024 год, подготовленной в соответствии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установленными в Российской Федерации правилами составления бухгалтерской (финансовой)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отчетности с учетом требований, содержащихся в принятом Советом директоров Банка России решении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24.12.2024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«О требованиях к раскрытию кредитными организациями (голов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ными кредитными организациями банковских групп) отчетности и информации в 2025 году» и изложенных в Информационном письме Банка России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22.01.2025 N ИН-03-23/70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«О требованиях к раскрытию и представлению в Банк России отчетности и информации в 2025 году».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Аудитор провел обзорную проверку в отношении: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3 месяца,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 31 марта 2022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6 месяцев,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июня 2022 года, подготовленной в соответствии с Международными стандартами финансовой отчетности.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9 месяцев,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сентября 2022 года, 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3 месяца,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31 марта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3 месяца,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31 марта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6 месяцев,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6 месяцев,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9 месяцев,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сентября 2022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на основе промежуточной сокращенной консолидированной финансовой отчетности Группы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месяцев,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сентября 2022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3 месяца,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31 марта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6 месяцев,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9 месяцев,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сентября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года, 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3 месяца,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31 марта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2023 года,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3 месяца,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31 марта 2023 года,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6 месяцев,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июня 2023 года,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6 месяцев,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июня 2023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9 месяцев,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сентября 2023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на основе промежуточной сокращенной консолидированной финансовой отчетности Группы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месяцев,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сентября 2023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в соответствии с Международными стандартами финансовой отчетности.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3 месяца,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31 марта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года,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6 месяцев,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года,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9 месяцев,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сентября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года, 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3 месяца,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31 марта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2024 года,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3 месяца,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31 марта 2024 года,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6 месяцев,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июня 2024 года,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6 месяцев,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июня 2024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в соответствии с 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9 месяцев,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сентября 2024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на основе промежуточной сокращенной консолидированной финансовой отчетности Группы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месяцев,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кончившихся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сентября 2024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в соответствии с Международными стандартами финансовой отчетности.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</w:r>
      <w:r>
        <w:rPr>
          <w:rFonts w:eastAsia="Times New Roman"/>
          <w:iCs/>
          <w:lang w:eastAsia="ru-RU"/>
        </w:rPr>
      </w:r>
      <w:r>
        <w:rPr>
          <w:rFonts w:eastAsia="Times New Roman"/>
          <w:iCs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Аудитор будет проводить аудиторскую проверку в отношении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годовой бухгалтерской (финансовой) отчетности, составленных на ее основе публикуемых форм Банка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год,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Аудитор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для проведения обзорной проверки в отношении: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обобщенной (раскрываемой) консолидированной финансовой отчетности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на основе промежуточной сокращенной консолидированной финансовой отчетности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подготовленной в соответствии с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  <w:lang w:eastAsia="ru-RU"/>
        </w:rPr>
        <w:t xml:space="preserve">будет определен после проведения соответствующих закупочных процедур и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  <w:lang w:eastAsia="ru-RU"/>
        </w:rPr>
        <w:t xml:space="preserve">закл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  <w:lang w:eastAsia="ru-RU"/>
        </w:rPr>
        <w:t xml:space="preserve">ючения соответствующего договора.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</w:r>
      <w:r>
        <w:rPr>
          <w:rFonts w:eastAsia="Times New Roman"/>
          <w:iCs/>
          <w:lang w:eastAsia="ru-RU"/>
        </w:rPr>
      </w:r>
      <w:r>
        <w:rPr>
          <w:rFonts w:eastAsia="Times New Roman"/>
          <w:iCs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 текущего года аудитором: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tbl>
      <w:tblPr>
        <w:tblW w:w="98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95"/>
        <w:gridCol w:w="5946"/>
      </w:tblGrid>
      <w:tr>
        <w:trPr>
          <w:trHeight w:val="340"/>
        </w:trPr>
        <w:tblPrEx/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Контракт 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Дата заключения 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Описание услуг 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801"/>
        </w:trPr>
        <w:tblPrEx/>
        <w:tc>
          <w:tcPr>
            <w:tcW w:w="2263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BAS-2022-00083 (РСХБ-18/253-2022)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27.06.2022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94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Консультационные услуги по предоставлению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екомендаций в части совершенствования методологии оценки ожидаемых кредитных убытков в соответствии с МСФО 9 по требованиям к корпоративным заемщикам и индивидуальным предпринимателям и портфелям дочерних обществ для нужд                               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277"/>
        </w:trPr>
        <w:tblPrEx/>
        <w:tc>
          <w:tcPr>
            <w:tcW w:w="226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РСХБ-18/331-2022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(GFS-2022-00133)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15.07.2022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946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Сопутствующие аудиторские процедуры в связи с эмиссией биржевых неконвертируемых облигаций с централизованным учетом прав, размещаемых путем открытой подписки в рамках Программы биржевых облигаций серии 002Р.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225"/>
        </w:trPr>
        <w:tblPrEx/>
        <w:tc>
          <w:tcPr>
            <w:tcW w:w="2263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EX22080400027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31.08.2022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946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Оценка функции внутреннего аудита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781"/>
        </w:trPr>
        <w:tblPrEx/>
        <w:tc>
          <w:tcPr>
            <w:tcW w:w="2263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Договор оказания аудиторских услуг от 26.02.2019 № GFS-2019-00027, ДС к договору №5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15.12.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2022, ДС к договору №6 от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 ДС к договору №7 от 30.11.2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26.02.2019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 xml:space="preserve">08.12.2022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 xml:space="preserve">20.12.2022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30.11.2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94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Аудит в соответств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ии со статьей 50 Федерального закона от 29.11.2001 № 156-ФЗ «Об инвестиционных фондах», Федеральным законом от 30.12.2008 № 307-ФЭ «Об аудиторской деятельности» за 2022 год. (Закрытый паевой инвестиционный комбинированный фонд «Фонд долговых ценных бумаг»)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390"/>
        </w:trPr>
        <w:tblPrEx/>
        <w:tc>
          <w:tcPr>
            <w:tcW w:w="226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5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удит в соответствии со 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ей 50 Федерального закона от 29.11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2001 № 156-ФЗ «Об инвестиционных 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дах», Федеральным законом от 30.12.2008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№ 307-ФЗ «Об аудиторской деятельности» за 2023 год. (Закрытый паевой инвестиционный комбинированный фонд «Фонд долговых ценных бумаг»)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910"/>
        </w:trPr>
        <w:tblPrEx/>
        <w:tc>
          <w:tcPr>
            <w:tcW w:w="2263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EX23020900071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.03.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94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Услуги по проведению оценки реализации в 2022 году Долгосрочной программы развития и выполнения ключевых показателей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30"/>
        </w:trPr>
        <w:tblPrEx/>
        <w:tc>
          <w:tcPr>
            <w:tcW w:w="2263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РСХБ-18/222-2023/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GFS-2023-00155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07.08.2023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94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Сопутствующие аудиторские процедуры в связи с обновлением Проспекта ценных бумаг в рамках Программы биржевых облигаций серии 002Р.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493"/>
      </w:tblGrid>
      <w:tr>
        <w:trPr>
          <w:jc w:val="center"/>
        </w:trPr>
        <w:tblPrEx/>
        <w:tc>
          <w:tcPr>
            <w:tcW w:w="5670" w:type="dxa"/>
            <w:noWrap w:val="false"/>
            <w:textDirection w:val="lrTb"/>
          </w:tcPr>
          <w:p>
            <w:pPr>
              <w:pStyle w:val="1128"/>
              <w:ind w:firstLine="0"/>
            </w:pPr>
            <w:r>
              <w:t xml:space="preserve"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</w:t>
            </w:r>
          </w:p>
        </w:tc>
        <w:tc>
          <w:tcPr>
            <w:tcW w:w="3493" w:type="dxa"/>
            <w:noWrap w:val="false"/>
            <w:textDirection w:val="lrTb"/>
          </w:tcPr>
          <w:p>
            <w:pPr>
              <w:pStyle w:val="1128"/>
              <w:ind w:firstLine="0"/>
              <w:rPr>
                <w:b/>
                <w:i/>
              </w:rPr>
            </w:pPr>
            <w:r>
              <w:t xml:space="preserve">не имеется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rPr>
          <w:jc w:val="center"/>
        </w:trPr>
        <w:tblPrEx/>
        <w:tc>
          <w:tcPr>
            <w:tcW w:w="5670" w:type="dxa"/>
            <w:noWrap w:val="false"/>
            <w:textDirection w:val="lrTb"/>
          </w:tcPr>
          <w:p>
            <w:pPr>
              <w:pStyle w:val="1128"/>
              <w:ind w:firstLine="0"/>
              <w:rPr>
                <w:b/>
                <w:i/>
              </w:rPr>
            </w:pPr>
            <w:r>
              <w:t xml:space="preserve"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493" w:type="dxa"/>
            <w:noWrap w:val="false"/>
            <w:textDirection w:val="lrTb"/>
          </w:tcPr>
          <w:p>
            <w:pPr>
              <w:pStyle w:val="1128"/>
              <w:ind w:firstLine="0"/>
              <w:rPr>
                <w:b/>
                <w:i/>
              </w:rPr>
            </w:pPr>
            <w:r>
              <w:t xml:space="preserve">не предоставлялись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rPr>
          <w:jc w:val="center"/>
        </w:trPr>
        <w:tblPrEx/>
        <w:tc>
          <w:tcPr>
            <w:tcW w:w="5670" w:type="dxa"/>
            <w:noWrap w:val="false"/>
            <w:textDirection w:val="lrTb"/>
          </w:tcPr>
          <w:p>
            <w:pPr>
              <w:pStyle w:val="1128"/>
              <w:ind w:firstLine="0"/>
              <w:rPr>
                <w:b/>
                <w:i/>
              </w:rPr>
            </w:pPr>
            <w:r>
              <w:t xml:space="preserve">наличие 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493" w:type="dxa"/>
            <w:noWrap w:val="false"/>
            <w:textDirection w:val="lrTb"/>
          </w:tcPr>
          <w:p>
            <w:pPr>
              <w:pStyle w:val="1128"/>
              <w:ind w:firstLine="0"/>
              <w:rPr>
                <w:b/>
                <w:i/>
              </w:rPr>
            </w:pPr>
            <w:r>
              <w:t xml:space="preserve">не имеется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rPr>
          <w:jc w:val="center"/>
        </w:trPr>
        <w:tblPrEx/>
        <w:tc>
          <w:tcPr>
            <w:tcW w:w="5670" w:type="dxa"/>
            <w:noWrap w:val="false"/>
            <w:textDirection w:val="lrTb"/>
          </w:tcPr>
          <w:p>
            <w:pPr>
              <w:pStyle w:val="1128"/>
              <w:ind w:firstLine="0"/>
              <w:rPr>
                <w:b/>
                <w:i/>
              </w:rPr>
            </w:pPr>
            <w:r>
              <w:t xml:space="preserve">сведения о лицах, занимающих д</w:t>
            </w:r>
            <w:r>
              <w:t xml:space="preserve">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493" w:type="dxa"/>
            <w:noWrap w:val="false"/>
            <w:textDirection w:val="lrTb"/>
          </w:tcPr>
          <w:p>
            <w:pPr>
              <w:pStyle w:val="1128"/>
              <w:ind w:firstLine="0"/>
              <w:jc w:val="left"/>
              <w:rPr>
                <w:b/>
                <w:i/>
              </w:rPr>
            </w:pPr>
            <w:r>
              <w:t xml:space="preserve">должностные лица Эмитента не являются одновременно должностными лицами аудитора 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Меры, предпринятые эмитентом и аудитором эмитента для снижения влияния факторов, которые могут оказать влияние на независимость аудитора: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задачи по выявлению конфликтов интересов в деятельности               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Банк осуществляет мероприятия текущего мониторинга, контроль принятия мер, предусмотренных Порядком предотвращения конфликтов интересов                      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№ 538-П, а также реализации Антикоррупционной политики                             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возникновение деловых отношений между 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и независимым аудитором с точки зрения приобретения Банком у последнего товаров, работ, услуг осуществляется только после заключения договора по итогам проведения Банком соответствующей закупочной процедуры в соответствии с требованиями 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от 18.07.2011 № 223-ФЗ «О закупках товаров, работ, услуг отдельными видами юридических лиц»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Фактический размер вознаграждения, выплаченного эмитентом аудитору за последний завершенный отчетный год, с отдельным указанием размера вознаграждения, выплаченного за аудит (проверку), в том числе обязательный,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консолидированной финансовой отчетности эмитента за последний завершенный отчетный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 оказание сопутствующих аудиту и прочих связанных с аудиторской деятельностью услуг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Общий размер вознаграждений, выплаченный ООО «ЦАТР – аудиторские услуги» за 2024 год за аудиторские и неаудиторские услуги, составил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951 904,02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(включая НДС)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Размер вознаграждения за оказанные аудитором эмитента услуги, выплата которого от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ложена или просрочена эмитентом, с отдельным указанием отложенного или просроченного вознаграждения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 </w:t>
      </w:r>
      <w:r>
        <w:rPr>
          <w:rFonts w:ascii="Times New Roman" w:hAnsi="Times New Roman" w:cs="Times New Roman"/>
          <w:sz w:val="24"/>
          <w:szCs w:val="24"/>
        </w:rPr>
        <w:t xml:space="preserve">Отсутствует.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Фактический размер вознагр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аждения, выплаченного за последний завершенный отчетный год эмитентом аудитору, а также организациям, которые являются членами того же объединения организаций, членом которого является аудитор эмитента (входят с аудитором эмитента в одну сеть аудиторских 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рганизаций), с отдельным указанием размера вознаграждения, выплаченного за аудит (проверку), в том числе обязательный, консолидированной финансовой отчетности эмитента и за оказание сопутствующих аудиту и прочих связанных с аудиторской деятельностью услуг: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1128"/>
        <w:ind w:firstLine="709"/>
        <w:rPr>
          <w:iCs/>
          <w:sz w:val="24"/>
          <w:szCs w:val="24"/>
        </w:rPr>
      </w:pPr>
      <w:r>
        <w:rPr>
          <w:sz w:val="24"/>
          <w:szCs w:val="24"/>
        </w:rPr>
        <w:t xml:space="preserve">ООО «ЦАТР – аудиторские услуги» является членом Саморегулируемой организации аудиторов Ассоциация «Содружество» (</w:t>
      </w:r>
      <w:r>
        <w:rPr>
          <w:bCs/>
          <w:sz w:val="24"/>
          <w:szCs w:val="24"/>
        </w:rPr>
        <w:t xml:space="preserve">СРО ААС</w:t>
      </w:r>
      <w:r>
        <w:rPr>
          <w:sz w:val="24"/>
          <w:szCs w:val="24"/>
        </w:rPr>
        <w:t xml:space="preserve">), место нахождения: Российская </w:t>
      </w:r>
      <w:r>
        <w:rPr>
          <w:bCs/>
          <w:iCs/>
          <w:sz w:val="24"/>
          <w:szCs w:val="24"/>
        </w:rPr>
        <w:t xml:space="preserve">Федерация, город Москва, адрес: Россия</w:t>
      </w:r>
      <w:r>
        <w:rPr>
          <w:bCs/>
          <w:iCs/>
          <w:sz w:val="24"/>
          <w:szCs w:val="24"/>
        </w:rPr>
        <w:t xml:space="preserve">, 119192, Москва, Мичуринский пр</w:t>
      </w:r>
      <w:r>
        <w:rPr>
          <w:bCs/>
          <w:iCs/>
          <w:sz w:val="24"/>
          <w:szCs w:val="24"/>
        </w:rPr>
        <w:t xml:space="preserve">оспект</w:t>
      </w:r>
      <w:r>
        <w:rPr>
          <w:bCs/>
          <w:iCs/>
          <w:sz w:val="24"/>
          <w:szCs w:val="24"/>
        </w:rPr>
        <w:t xml:space="preserve">, дом 21, корпус 4.</w:t>
      </w:r>
      <w:r>
        <w:rPr>
          <w:bCs/>
          <w:iCs/>
          <w:sz w:val="24"/>
          <w:szCs w:val="24"/>
        </w:rPr>
        <w:t xml:space="preserve"> Эмитент не выплачивал вознаграждение в 2024 году </w:t>
      </w:r>
      <w:r>
        <w:rPr>
          <w:bCs/>
          <w:iCs/>
          <w:sz w:val="24"/>
          <w:szCs w:val="24"/>
        </w:rPr>
        <w:t xml:space="preserve">организациям, которые являются членами того же объединения организаций, членом которого является аудитор эмитента (входят с аудитором эмитента в одну сеть аудиторских организаций).</w:t>
      </w:r>
      <w:r>
        <w:rPr>
          <w:b/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1128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128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Фактический размер вознаграждения, выплаченного за последний завершенный отчетный год эмитентом аудитору: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Общий размер вознаграждений, выплаченный ООО «ЦАТР – аудиторские услуги» за 2024 год за аудиторские и неаудиторские услуги, составил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951 904,02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(включая НДС)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128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128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Фактический размер вознаграждения, выплаченного за последний завершенный отчетный год эмитентом организациям, которые являются членами того же объединения организаций, членом которого является аудитор эмитента: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128"/>
        <w:ind w:firstLine="709"/>
        <w:rPr>
          <w:iCs/>
        </w:rPr>
      </w:pPr>
      <w:r>
        <w:rPr>
          <w:sz w:val="24"/>
          <w:szCs w:val="24"/>
        </w:rPr>
        <w:t xml:space="preserve">Вознаграждение организациям, которые являются членами того же объединения организаций, членом которого является аудитор эмитента, не выплачивалось.</w:t>
      </w:r>
      <w:r>
        <w:rPr>
          <w:iCs/>
        </w:rPr>
      </w:r>
      <w:r>
        <w:rPr>
          <w:iCs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орядок выбора аудитора эмитентом: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</w:rPr>
        <w:t xml:space="preserve">» проводит открытый конкурс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по отбору аудиторской организации для проведения ежегодного аудита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митента.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30.12.2008 № 307-ФЗ «Об аудиторской деятельности» договор на проведение обязательного аудита бухгалтерской (финансовой) отчетности заключался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открытого конкурса в электронной форме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менее, чем за 15 календарных дней до дня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 xml:space="preserve">конкурса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(далее – конкурс)</w:t>
      </w:r>
      <w:r>
        <w:rPr>
          <w:rFonts w:ascii="Times New Roman" w:hAnsi="Times New Roman" w:cs="Times New Roman"/>
          <w:sz w:val="24"/>
          <w:szCs w:val="24"/>
        </w:rPr>
        <w:t xml:space="preserve">, Эмитент в установленном порядке публикует извещение о проведении конкурса,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согласованное с </w:t>
      </w:r>
      <w:r>
        <w:rPr>
          <w:rFonts w:ascii="Times New Roman" w:hAnsi="Times New Roman" w:cs="Times New Roman"/>
          <w:sz w:val="24"/>
          <w:szCs w:val="24"/>
        </w:rPr>
        <w:t xml:space="preserve">Федеральн</w:t>
      </w:r>
      <w:r>
        <w:rPr>
          <w:rFonts w:ascii="Times New Roman" w:hAnsi="Times New Roman" w:cs="Times New Roman"/>
          <w:sz w:val="24"/>
          <w:szCs w:val="24"/>
        </w:rPr>
        <w:t xml:space="preserve">ым</w:t>
      </w:r>
      <w:r>
        <w:rPr>
          <w:rFonts w:ascii="Times New Roman" w:hAnsi="Times New Roman" w:cs="Times New Roman"/>
          <w:sz w:val="24"/>
          <w:szCs w:val="24"/>
        </w:rPr>
        <w:t xml:space="preserve"> агентств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по управлению государственным имуществом (далее – </w:t>
      </w:r>
      <w:r>
        <w:rPr>
          <w:rFonts w:ascii="Times New Roman" w:hAnsi="Times New Roman" w:cs="Times New Roman"/>
          <w:sz w:val="24"/>
          <w:szCs w:val="24"/>
        </w:rPr>
        <w:t xml:space="preserve">Росимущество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Style w:val="1188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котором указываются основные условия проведения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Выбранная по итогам открытого конкурса аудиторская организация последовательно согласовывается Правлением, Наблюдательным советом Банка и </w:t>
      </w:r>
      <w:r>
        <w:rPr>
          <w:rFonts w:ascii="Times New Roman" w:hAnsi="Times New Roman" w:cs="Times New Roman"/>
          <w:sz w:val="24"/>
          <w:szCs w:val="24"/>
        </w:rPr>
        <w:t xml:space="preserve">выносится на утверждение годового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акционеров Банка (в соответствии с п. 101 Устава Банка и п. 3.3, 3.6 Положения о Комитете по аудиту Наблюдательного совета Бан</w:t>
      </w:r>
      <w:r>
        <w:rPr>
          <w:rFonts w:ascii="Times New Roman" w:hAnsi="Times New Roman" w:cs="Times New Roman"/>
          <w:sz w:val="24"/>
          <w:szCs w:val="24"/>
        </w:rPr>
        <w:t xml:space="preserve">ка, утвержденного Наблюдательным советом Банка (протокол от 27.06.2017 № 11).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30 июня 2022 года ООО «ЦАТР – аудиторские услуги» утвержден аудитором </w:t>
      </w:r>
      <w:r>
        <w:rPr>
          <w:rFonts w:ascii="Times New Roman" w:hAnsi="Times New Roman" w:cs="Times New Roman"/>
          <w:sz w:val="24"/>
          <w:szCs w:val="24"/>
        </w:rPr>
        <w:br/>
        <w:t xml:space="preserve">АО «Россельхозбанк» для проведения обязательной ежегодной аудиторской проверки за 2022 год (Распоряжение Росимущества от 30.06.2022 № 344-р).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30 июня 2023 года ООО «ЦАТР – аудиторские услуги» утвержден аудитором </w:t>
      </w:r>
      <w:r>
        <w:rPr>
          <w:rFonts w:ascii="Times New Roman" w:hAnsi="Times New Roman" w:cs="Times New Roman"/>
          <w:sz w:val="24"/>
          <w:szCs w:val="24"/>
        </w:rPr>
        <w:br/>
        <w:t xml:space="preserve">АО «Россельхозбанк» для проведения обязательной ежегодной аудиторской проверки за 2023 год (Распоряжение Росимущества от 30.06.2023 № 828-р).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28 июня 2024 года ООО «ЦАТР – аудиторские услуги» утвержден аудитором </w:t>
      </w:r>
      <w:r>
        <w:rPr>
          <w:rFonts w:ascii="Times New Roman" w:hAnsi="Times New Roman" w:cs="Times New Roman"/>
          <w:sz w:val="24"/>
          <w:szCs w:val="24"/>
        </w:rPr>
        <w:br/>
        <w:t xml:space="preserve">АО «Россельхозбанк» для проведения обязательной ежегодной аудиторской проверки 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(Распоряжение Росимущества от 28.06.2024 № 1586-р).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5. Консолидированная финансовая отчетность (финансовая отчетность), бухгалтерская (финансовая) отчетность эмитента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Консолидированная финансовая отчетность (финансовая отчетность) эмитента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076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87"/>
        <w:gridCol w:w="3793"/>
      </w:tblGrid>
      <w:tr>
        <w:trPr>
          <w:jc w:val="center"/>
        </w:trPr>
        <w:tblPrEx/>
        <w:tc>
          <w:tcPr>
            <w:tcW w:w="69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87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отчетности, иного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приложения к отчету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blPrEx/>
        <w:tc>
          <w:tcPr>
            <w:tcW w:w="69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87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80"/>
        </w:trPr>
        <w:tblPrEx/>
        <w:tc>
          <w:tcPr>
            <w:tcW w:w="69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8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Аудиторское заключение независимого аудитора о консолидированной финансовой отчетности Акционерного общества «Российский Сельскохозяйственный банк» и его дочерних организаций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793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абзацем 12 пункта 1 Постановления Правительства Российской Федерации от 04.07.20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               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директоров Банка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24.12.2024             «О требованиях к раскрытию кредитными организациями (головными кредитными организациями банковских групп) отчетности и информации в 2025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к Отчету эмитента не раскрывается.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69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8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Аудиторское заключение независимого аудитора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69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8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Консолидированный отчет о финансовом положении по состоянию на 31 декабря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69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8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Консолидированный отчет о прибылях и убытках и прочем совокупном доходе за год, закончившийся 31 декабря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9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22"/>
        </w:trPr>
        <w:tblPrEx/>
        <w:tc>
          <w:tcPr>
            <w:tcW w:w="69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8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Консолидированный отчет об изменениях капитала за год, закончившийся 31 декабря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93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69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8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Консолидированный отчет о движении денежных средств за год, закончившийся 31 декабря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93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51"/>
        </w:trPr>
        <w:tblPrEx/>
        <w:tc>
          <w:tcPr>
            <w:tcW w:w="69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87" w:type="dxa"/>
            <w:noWrap w:val="false"/>
            <w:textDirection w:val="lrTb"/>
          </w:tcPr>
          <w:p>
            <w:pPr>
              <w:tabs>
                <w:tab w:val="left" w:pos="-55" w:leader="none"/>
              </w:tabs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Примечания к консолидированной финансовой отчетности – 31 декабря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сайте Банка и на странице в сети Интернет раскрыта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Обобщенная консолидированная финансовая отчетность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61"/>
        <w:gridCol w:w="3789"/>
      </w:tblGrid>
      <w:tr>
        <w:trPr>
          <w:jc w:val="center"/>
          <w:trHeight w:val="564"/>
        </w:trPr>
        <w:tblPrEx/>
        <w:tc>
          <w:tcPr>
            <w:tcW w:w="7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отчетности, иного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9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blPrEx/>
        <w:tc>
          <w:tcPr>
            <w:tcW w:w="7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jc w:val="center"/>
          <w:trHeight w:val="780"/>
        </w:trPr>
        <w:tblPrEx/>
        <w:tc>
          <w:tcPr>
            <w:tcW w:w="7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Обобщенная консолидированная финансовая отчетность Акционерного общества «Российский Сельскохозяйственный банк» и его дочерних организаций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год и аудиторское заключение независимого аудитора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789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Style w:val="1133"/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Style w:val="1133"/>
                <w:rFonts w:ascii="Times New Roman" w:hAnsi="Times New Roman"/>
                <w:sz w:val="24"/>
                <w:szCs w:val="24"/>
              </w:rPr>
            </w:r>
            <w:hyperlink r:id="rId15" w:tooltip="https://www.e-disclosure.ru/portal/files.aspx?id=3207&amp;type=4" w:history="1">
              <w:r>
                <w:rPr>
                  <w:rStyle w:val="1133"/>
                  <w:rFonts w:ascii="Times New Roman" w:hAnsi="Times New Roman"/>
                  <w:sz w:val="24"/>
                  <w:szCs w:val="24"/>
                </w:rPr>
                <w:t xml:space="preserve">https://www.e-disclosure.ru/portal/files.aspx?id=3207&amp;type=4</w:t>
              </w:r>
            </w:hyperlink>
            <w:r>
              <w:rPr>
                <w:rStyle w:val="1133"/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Style w:val="1133"/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Style w:val="1133"/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jc w:val="center"/>
              <w:rPr>
                <w:rStyle w:val="1133"/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Style w:val="1133"/>
                <w:rFonts w:ascii="Times New Roman" w:hAnsi="Times New Roman"/>
                <w:sz w:val="24"/>
                <w:szCs w:val="24"/>
              </w:rPr>
            </w:r>
            <w:r>
              <w:rPr>
                <w:rStyle w:val="1133"/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Style w:val="1133"/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1133"/>
                <w:rFonts w:ascii="Times New Roman" w:hAnsi="Times New Roman"/>
                <w:sz w:val="24"/>
                <w:szCs w:val="24"/>
              </w:rPr>
              <w:t xml:space="preserve">https://www.rshb.ru/investors/msfo/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7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Аудиторское заключение независимого аудитора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9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jc w:val="center"/>
          <w:trHeight w:val="587"/>
        </w:trPr>
        <w:tblPrEx/>
        <w:tc>
          <w:tcPr>
            <w:tcW w:w="7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консолидированный отчет о финансовом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9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7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консолидированный отчет о прибылях и убытках и прочем совокупном доходе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9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jc w:val="center"/>
          <w:trHeight w:val="84"/>
        </w:trPr>
        <w:tblPrEx/>
        <w:tc>
          <w:tcPr>
            <w:tcW w:w="7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консолидированный отчет об изменениях капитала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9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7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к обобщенной консолидированной финансовой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9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Бухгалтерская (финансовая) отчетность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695"/>
        <w:gridCol w:w="3510"/>
      </w:tblGrid>
      <w:tr>
        <w:trPr>
          <w:jc w:val="center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отчетности, иного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приложения к отчету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10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537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Аудиторское заключение независимого аудитора о годовой бухгалтерской (финансовой) отчетности Акционерного общества «Российский Сельскохозяйственный банк»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год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0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абзацем           12 пункта 1 Постановления Правительства Российской Федерации от 04.07.20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 «Об акционерных обществах» и Федерального закона «О рынке ценных бумаг»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директоров Банка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24.12.2024 «О требованиях к раскрытию кредитными организациями (головными кредитными организациями банковских групп) отчетности и информации в 2025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 к Отчету эмитента не раскрывается.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Аудиторское заключение независимого аудитора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Бухгалтерский баланс (публикуемая форма) за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о финансовых результатах (публикуемая форма) за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22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об уровне достаточности капитала для покрытия рисков (публикуемая форма) по состоянию на 1 января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об изменениях в капитале кредитной организации (публикуемая форма) на 1 января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63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об обязательных нормативах, показателе финансового рычага и нормативе краткосрочной ликвидности (публикуемая форма) по состоянию на                     1 января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51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о движении денежных средств (публикуемая форма) по состоянию на 1 января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88"/>
        </w:trPr>
        <w:tblPrEx/>
        <w:tc>
          <w:tcPr>
            <w:tcW w:w="64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95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Пояснения к годовой бухгалтерской (финансовой) отчетности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 сайте Банка и на странице в сети Интернет раскрыта Бухгалтерская (финансовая) отчетность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 изъятиями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68"/>
        <w:gridCol w:w="3783"/>
      </w:tblGrid>
      <w:tr>
        <w:trPr>
          <w:jc w:val="center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отчетности, иного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537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Аудиторское заключение независимого аудитора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публикуемой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отчетности Акционерного общества «Российский Сельскохозяйственный банк»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год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83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Style w:val="1133"/>
                <w:rFonts w:ascii="Times New Roman" w:hAnsi="Times New Roman"/>
                <w:sz w:val="24"/>
                <w:szCs w:val="24"/>
              </w:rPr>
            </w:r>
            <w:hyperlink r:id="rId16" w:tooltip="https://www.e-disclosure.ru/portal/files.aspx?id=3207&amp;type=4" w:history="1">
              <w:r>
                <w:rPr>
                  <w:rStyle w:val="1133"/>
                  <w:rFonts w:ascii="Times New Roman" w:hAnsi="Times New Roman"/>
                  <w:sz w:val="24"/>
                  <w:szCs w:val="24"/>
                </w:rPr>
                <w:t xml:space="preserve">https://www.e-disclosure.ru/portal/files.aspx?id=3207&amp;type=4</w:t>
              </w:r>
            </w:hyperlink>
            <w:r>
              <w:rPr>
                <w:rStyle w:val="1133"/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Style w:val="1133"/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33"/>
                <w:rFonts w:ascii="Times New Roman" w:hAnsi="Times New Roman"/>
                <w:sz w:val="24"/>
                <w:szCs w:val="24"/>
              </w:rPr>
            </w:r>
            <w:r>
              <w:rPr>
                <w:rStyle w:val="1133"/>
                <w:rFonts w:ascii="Times New Roman" w:hAnsi="Times New Roman"/>
                <w:sz w:val="24"/>
                <w:szCs w:val="24"/>
              </w:rPr>
              <w:t xml:space="preserve">https://www.rshb.ru/about/reports-conclusion/accounting</w:t>
            </w:r>
            <w:r>
              <w:rPr>
                <w:rStyle w:val="1133"/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Аудиторское заключение независимого аудитора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Бухгалтерский баланс (публикуемая форма) за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изъятиями)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о финансовых результатах (публикуемая форма) за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изъятиями)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22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об уровне достаточности капитала для покрытия рисков (публикуемая форма) по состоянию на 1 января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изъятиями)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об изменениях в капитале кредитной организации (публикуемая форма) на 1 января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изъятиями)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076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об обязательных нормативах,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финансового рычага и нормативе краткосрочной ликвидности (публикуемая форма) по состоянию на 1 января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изъятиями)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1"/>
        </w:trPr>
        <w:tblPrEx/>
        <w:tc>
          <w:tcPr>
            <w:tcW w:w="709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Примечание. Принципы сос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тавления публикуемой отчетности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Акционерного общества «Российский Сельскохозяйственный банк»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ind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sectPr>
      <w:footerReference w:type="default" r:id="rId9"/>
      <w:footnotePr/>
      <w:endnotePr/>
      <w:type w:val="nextPage"/>
      <w:pgSz w:w="11905" w:h="16838" w:orient="portrait"/>
      <w:pgMar w:top="709" w:right="709" w:bottom="567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,Bold"/>
  <w:font w:name="Matura MT Script Capitals">
    <w:panose1 w:val="02020703060505090304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Calibri">
    <w:panose1 w:val="020F0502020204030204"/>
  </w:font>
  <w:font w:name="Garamond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52030446"/>
      <w:docPartObj>
        <w:docPartGallery w:val="Page Numbers (Bottom of Page)"/>
        <w:docPartUnique w:val="true"/>
      </w:docPartObj>
      <w:rPr/>
    </w:sdtPr>
    <w:sdtContent>
      <w:p>
        <w:pPr>
          <w:pStyle w:val="11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28</w:t>
        </w:r>
        <w:r>
          <w:fldChar w:fldCharType="end"/>
        </w:r>
      </w:p>
    </w:sdtContent>
  </w:sdt>
  <w:p>
    <w:pPr>
      <w:pStyle w:val="1125"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2">
    <w:p>
      <w:pPr>
        <w:pStyle w:val="1186"/>
        <w:rPr>
          <w:rFonts w:ascii="Times New Roman" w:hAnsi="Times New Roman" w:cs="Times New Roman"/>
        </w:rPr>
      </w:pPr>
      <w:r>
        <w:rPr>
          <w:rStyle w:val="1188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Без учета банка непрофильных активов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3">
    <w:p>
      <w:pPr>
        <w:pStyle w:val="1186"/>
        <w:rPr>
          <w:rFonts w:ascii="Times New Roman" w:hAnsi="Times New Roman" w:cs="Times New Roman"/>
        </w:rPr>
      </w:pPr>
      <w:r>
        <w:rPr>
          <w:rStyle w:val="1188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Здесь и далее показатели прироста приведены с устранением валютной переоценки, данные Банка России.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4">
    <w:p>
      <w:pPr>
        <w:pStyle w:val="1186"/>
        <w:rPr>
          <w:rFonts w:ascii="Times New Roman" w:hAnsi="Times New Roman" w:cs="Times New Roman"/>
        </w:rPr>
      </w:pPr>
      <w:r>
        <w:rPr>
          <w:rStyle w:val="1188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Показатель скорректирован Банком России на внутригрупповое перераспределение доходов.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5">
    <w:p>
      <w:pPr>
        <w:pStyle w:val="1186"/>
        <w:rPr>
          <w:rFonts w:ascii="Times New Roman" w:hAnsi="Times New Roman" w:cs="Times New Roman"/>
        </w:rPr>
      </w:pPr>
      <w:r>
        <w:rPr>
          <w:rStyle w:val="118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См. «</w:t>
      </w:r>
      <w:r>
        <w:rPr>
          <w:rFonts w:ascii="Times New Roman" w:hAnsi="Times New Roman" w:eastAsia="Times New Roman" w:cs="Times New Roman"/>
          <w:highlight w:val="white"/>
        </w:rPr>
        <w:t xml:space="preserve">Статистические показатели банковского сектора Российской Федерации». (https://cbr.ru/Collection/Collection/File/55170/obs_268.xlsx</w:t>
      </w:r>
      <w:r>
        <w:rPr>
          <w:rFonts w:ascii="Times New Roman" w:hAnsi="Times New Roman" w:eastAsia="Times New Roman" w:cs="Times New Roman"/>
        </w:rPr>
        <w:t xml:space="preserve">, вкладка Алгоритмы (табл.4)).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6">
    <w:p>
      <w:pPr>
        <w:pStyle w:val="1186"/>
        <w:rPr>
          <w:rFonts w:ascii="Times New Roman" w:hAnsi="Times New Roman" w:cs="Times New Roman"/>
          <w:sz w:val="18"/>
          <w:szCs w:val="18"/>
        </w:rPr>
      </w:pPr>
      <w:r>
        <w:rPr>
          <w:rStyle w:val="118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Протокол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Наблюдательного совета Банка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.2023 № 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7">
    <w:p>
      <w:pPr>
        <w:pStyle w:val="1186"/>
        <w:rPr>
          <w:rFonts w:ascii="Times New Roman" w:hAnsi="Times New Roman" w:cs="Times New Roman"/>
        </w:rPr>
      </w:pPr>
      <w:r>
        <w:rPr>
          <w:rStyle w:val="1188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Протокол Наблюдательного совета Банка от 29.09.2023 № 16.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8">
    <w:p>
      <w:pPr>
        <w:pStyle w:val="1186"/>
      </w:pPr>
      <w:r>
        <w:rPr>
          <w:rStyle w:val="1188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Протокол Наблюдательного совета Банка от 29.09.2023 № 16.</w:t>
      </w:r>
      <w:r>
        <w:rPr>
          <w:rFonts w:ascii="Times New Roman" w:hAnsi="Times New Roman" w:eastAsia="Times New Roman" w:cs="Times New Roman"/>
        </w:rPr>
      </w:r>
    </w:p>
  </w:footnote>
  <w:footnote w:id="9">
    <w:p>
      <w:pPr>
        <w:pStyle w:val="1186"/>
      </w:pPr>
      <w:r>
        <w:rPr>
          <w:rStyle w:val="1188"/>
        </w:rPr>
        <w:footnoteRef/>
      </w:r>
      <w:r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11.04.2022 полное наименование</w:t>
      </w:r>
      <w:r>
        <w:rPr>
          <w:rFonts w:ascii="Times New Roman" w:hAnsi="Times New Roman" w:cs="Times New Roman"/>
        </w:rPr>
        <w:t xml:space="preserve"> аудитора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Общество с ограниченной о</w:t>
      </w:r>
      <w:r>
        <w:rPr>
          <w:rFonts w:ascii="Times New Roman" w:hAnsi="Times New Roman" w:cs="Times New Roman"/>
        </w:rPr>
        <w:t xml:space="preserve">тветственностью «Эрнст энд Янг»</w:t>
      </w:r>
      <w:r>
        <w:rPr>
          <w:rFonts w:ascii="Times New Roman" w:hAnsi="Times New Roman" w:cs="Times New Roman"/>
        </w:rPr>
        <w:t xml:space="preserve">, сокращенное наименование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ООО «Эрнст энд Янг»</w:t>
      </w:r>
      <w:r>
        <w:rPr>
          <w:rFonts w:ascii="Times New Roman" w:hAnsi="Times New Roman" w:cs="Times New Roman"/>
        </w:rPr>
        <w:t xml:space="preserve">.</w:t>
      </w:r>
    </w:p>
  </w:footnote>
  <w:footnote w:id="10">
    <w:p>
      <w:pPr>
        <w:pStyle w:val="1186"/>
        <w:jc w:val="both"/>
        <w:rPr>
          <w:rFonts w:ascii="Times New Roman" w:hAnsi="Times New Roman" w:cs="Times New Roman"/>
        </w:rPr>
      </w:pPr>
      <w:r>
        <w:rPr>
          <w:rStyle w:val="1188"/>
        </w:rPr>
        <w:footnoteRef/>
      </w:r>
      <w:r>
        <w:t xml:space="preserve"> В</w:t>
      </w:r>
      <w:r>
        <w:rPr>
          <w:rFonts w:ascii="Times New Roman" w:hAnsi="Times New Roman" w:cs="Times New Roman"/>
        </w:rPr>
        <w:t xml:space="preserve">о исполнение требований Приказа Федерального агентства по управлению государственным имуществом (далее – </w:t>
      </w:r>
      <w:r>
        <w:rPr>
          <w:rFonts w:ascii="Times New Roman" w:hAnsi="Times New Roman" w:cs="Times New Roman"/>
        </w:rPr>
        <w:t xml:space="preserve">Росимущество</w:t>
      </w:r>
      <w:r>
        <w:rPr>
          <w:rFonts w:ascii="Times New Roman" w:hAnsi="Times New Roman" w:cs="Times New Roman"/>
        </w:rPr>
        <w:t xml:space="preserve">) от 22.02.2011 № 48 «Об организации работы структурных подразделений Федерального агентства по управлению государственным имуществом и его территориальных органов по обе</w:t>
      </w:r>
      <w:r>
        <w:rPr>
          <w:rFonts w:ascii="Times New Roman" w:hAnsi="Times New Roman" w:cs="Times New Roman"/>
        </w:rPr>
        <w:t xml:space="preserve">спечению проведения обязательного ежегодного аудита бухгалтерской (финансовой) отчетности федеральных государственных унитарных предприятий и акционерных обществ, в уставных капиталах которых доля федеральной собственности составляет не менее 25 процентов»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b w:val="0"/>
        <w:i w:val="0"/>
        <w:caps w:val="0"/>
        <w: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554" w:leader="none"/>
        </w:tabs>
        <w:ind w:left="155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149" w:leader="none"/>
        </w:tabs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869" w:leader="none"/>
        </w:tabs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589" w:leader="none"/>
        </w:tabs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309" w:leader="none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029" w:leader="none"/>
        </w:tabs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749" w:leader="none"/>
        </w:tabs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469" w:leader="none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189" w:leader="none"/>
        </w:tabs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5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1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7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567" w:leader="none"/>
        </w:tabs>
        <w:ind w:left="567" w:hanging="567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–"/>
      <w:lvlJc w:val="left"/>
      <w:pPr>
        <w:tabs>
          <w:tab w:val="num" w:pos="927" w:leader="none"/>
        </w:tabs>
        <w:ind w:left="851" w:hanging="284"/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0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720" w:leader="none"/>
        </w:tabs>
        <w:ind w:left="720" w:hanging="720"/>
      </w:pPr>
      <w:rPr>
        <w:rFonts w:hint="default" w:ascii="Arial" w:hAnsi="Arial" w:cs="Arial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720" w:leader="none"/>
        </w:tabs>
        <w:ind w:left="720" w:hanging="720"/>
      </w:pPr>
      <w:rPr>
        <w:rFonts w:hint="default" w:ascii="Arial" w:hAnsi="Arial" w:cs="Arial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720" w:leader="none"/>
        </w:tabs>
        <w:ind w:left="720" w:hanging="720"/>
      </w:pPr>
      <w:rPr>
        <w:rFonts w:hint="default" w:ascii="Arial" w:hAnsi="Arial" w:cs="Arial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1080" w:leader="none"/>
        </w:tabs>
        <w:ind w:left="1080" w:hanging="1080"/>
      </w:pPr>
      <w:rPr>
        <w:rFonts w:hint="default" w:ascii="Arial" w:hAnsi="Arial" w:cs="Arial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1080" w:leader="none"/>
        </w:tabs>
        <w:ind w:left="1080" w:hanging="1080"/>
      </w:pPr>
      <w:rPr>
        <w:rFonts w:hint="default" w:ascii="Arial" w:hAnsi="Arial" w:cs="Arial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1440" w:leader="none"/>
        </w:tabs>
        <w:ind w:left="1440" w:hanging="1440"/>
      </w:pPr>
      <w:rPr>
        <w:rFonts w:hint="default" w:ascii="Arial" w:hAnsi="Arial" w:cs="Arial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1440" w:leader="none"/>
        </w:tabs>
        <w:ind w:left="1440" w:hanging="1440"/>
      </w:pPr>
      <w:rPr>
        <w:rFonts w:hint="default" w:ascii="Arial" w:hAnsi="Arial" w:cs="Arial"/>
        <w:color w:val="00000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  <w:i w:val="0"/>
        <w:sz w:val="24"/>
        <w:szCs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1072" w:hanging="504"/>
      </w:pPr>
      <w:rPr>
        <w:rFonts w:hint="default" w:ascii="Symbol" w:hAnsi="Symbol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2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146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26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•"/>
      <w:lvlJc w:val="left"/>
      <w:pPr>
        <w:ind w:left="2490" w:hanging="1410"/>
      </w:pPr>
      <w:rPr>
        <w:rFonts w:hint="default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-2671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19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12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511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9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64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236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Symbol" w:hAnsi="Symbol"/>
        <w:b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180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Matura MT Script Capitals" w:hAnsi="Matura MT Script Capital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2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8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4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92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1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Matura MT Script Capitals" w:hAnsi="Matura MT Script Capital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Symbol" w:hAnsi="Symbol"/>
        <w:b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180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Matura MT Script Capitals" w:hAnsi="Matura MT Script Capital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  <w:i w:val="0"/>
        <w:sz w:val="24"/>
        <w:szCs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1072" w:hanging="504"/>
      </w:pPr>
      <w:rPr>
        <w:rFonts w:hint="default" w:ascii="Symbol" w:hAnsi="Symbol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2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554" w:leader="none"/>
        </w:tabs>
        <w:ind w:left="155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149" w:leader="none"/>
        </w:tabs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869" w:leader="none"/>
        </w:tabs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589" w:leader="none"/>
        </w:tabs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309" w:leader="none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029" w:leader="none"/>
        </w:tabs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749" w:leader="none"/>
        </w:tabs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469" w:leader="none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189" w:leader="none"/>
        </w:tabs>
        <w:ind w:left="7189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  <w:i w:val="0"/>
        <w:sz w:val="24"/>
        <w:szCs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1072" w:hanging="504"/>
      </w:pPr>
      <w:rPr>
        <w:rFonts w:hint="default" w:ascii="Symbol" w:hAnsi="Symbol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2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16"/>
  </w:num>
  <w:num w:numId="5">
    <w:abstractNumId w:val="15"/>
  </w:num>
  <w:num w:numId="6">
    <w:abstractNumId w:val="0"/>
  </w:num>
  <w:num w:numId="7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8"/>
  </w:num>
  <w:num w:numId="10">
    <w:abstractNumId w:val="19"/>
  </w:num>
  <w:num w:numId="11">
    <w:abstractNumId w:val="6"/>
  </w:num>
  <w:num w:numId="12">
    <w:abstractNumId w:val="3"/>
  </w:num>
  <w:num w:numId="13">
    <w:abstractNumId w:val="21"/>
  </w:num>
  <w:num w:numId="14">
    <w:abstractNumId w:val="34"/>
  </w:num>
  <w:num w:numId="15">
    <w:abstractNumId w:val="24"/>
  </w:num>
  <w:num w:numId="16">
    <w:abstractNumId w:val="39"/>
  </w:num>
  <w:num w:numId="17">
    <w:abstractNumId w:val="7"/>
  </w:num>
  <w:num w:numId="18">
    <w:abstractNumId w:val="2"/>
  </w:num>
  <w:num w:numId="19">
    <w:abstractNumId w:val="5"/>
  </w:num>
  <w:num w:numId="20">
    <w:abstractNumId w:val="29"/>
  </w:num>
  <w:num w:numId="21">
    <w:abstractNumId w:val="32"/>
  </w:num>
  <w:num w:numId="22">
    <w:abstractNumId w:val="27"/>
  </w:num>
  <w:num w:numId="23">
    <w:abstractNumId w:val="30"/>
  </w:num>
  <w:num w:numId="24">
    <w:abstractNumId w:val="18"/>
  </w:num>
  <w:num w:numId="25">
    <w:abstractNumId w:val="14"/>
  </w:num>
  <w:num w:numId="26">
    <w:abstractNumId w:val="10"/>
  </w:num>
  <w:num w:numId="27">
    <w:abstractNumId w:val="22"/>
  </w:num>
  <w:num w:numId="28">
    <w:abstractNumId w:val="31"/>
  </w:num>
  <w:num w:numId="29">
    <w:abstractNumId w:val="26"/>
  </w:num>
  <w:num w:numId="30">
    <w:abstractNumId w:val="37"/>
  </w:num>
  <w:num w:numId="31">
    <w:abstractNumId w:val="36"/>
  </w:num>
  <w:num w:numId="32">
    <w:abstractNumId w:val="35"/>
  </w:num>
  <w:num w:numId="33">
    <w:abstractNumId w:val="9"/>
  </w:num>
  <w:num w:numId="34">
    <w:abstractNumId w:val="23"/>
  </w:num>
  <w:num w:numId="35">
    <w:abstractNumId w:val="20"/>
  </w:num>
  <w:num w:numId="36">
    <w:abstractNumId w:val="39"/>
  </w:num>
  <w:num w:numId="37">
    <w:abstractNumId w:val="1"/>
  </w:num>
  <w:num w:numId="38">
    <w:abstractNumId w:val="13"/>
  </w:num>
  <w:num w:numId="39">
    <w:abstractNumId w:val="28"/>
  </w:num>
  <w:num w:numId="40">
    <w:abstractNumId w:val="11"/>
  </w:num>
  <w:num w:numId="41">
    <w:abstractNumId w:val="33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48">
    <w:name w:val="Heading 1 Char"/>
    <w:basedOn w:val="1120"/>
    <w:link w:val="1118"/>
    <w:uiPriority w:val="9"/>
    <w:rPr>
      <w:rFonts w:ascii="Arial" w:hAnsi="Arial" w:eastAsia="Arial" w:cs="Arial"/>
      <w:sz w:val="40"/>
      <w:szCs w:val="40"/>
    </w:rPr>
  </w:style>
  <w:style w:type="paragraph" w:styleId="949">
    <w:name w:val="Heading 2"/>
    <w:basedOn w:val="1117"/>
    <w:next w:val="1117"/>
    <w:link w:val="95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50">
    <w:name w:val="Heading 2 Char"/>
    <w:basedOn w:val="1120"/>
    <w:link w:val="949"/>
    <w:uiPriority w:val="9"/>
    <w:rPr>
      <w:rFonts w:ascii="Arial" w:hAnsi="Arial" w:eastAsia="Arial" w:cs="Arial"/>
      <w:sz w:val="34"/>
    </w:rPr>
  </w:style>
  <w:style w:type="paragraph" w:styleId="951">
    <w:name w:val="Heading 3"/>
    <w:basedOn w:val="1117"/>
    <w:next w:val="1117"/>
    <w:link w:val="95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52">
    <w:name w:val="Heading 3 Char"/>
    <w:basedOn w:val="1120"/>
    <w:link w:val="951"/>
    <w:uiPriority w:val="9"/>
    <w:rPr>
      <w:rFonts w:ascii="Arial" w:hAnsi="Arial" w:eastAsia="Arial" w:cs="Arial"/>
      <w:sz w:val="30"/>
      <w:szCs w:val="30"/>
    </w:rPr>
  </w:style>
  <w:style w:type="paragraph" w:styleId="953">
    <w:name w:val="Heading 4"/>
    <w:basedOn w:val="1117"/>
    <w:next w:val="1117"/>
    <w:link w:val="95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54">
    <w:name w:val="Heading 4 Char"/>
    <w:basedOn w:val="1120"/>
    <w:link w:val="953"/>
    <w:uiPriority w:val="9"/>
    <w:rPr>
      <w:rFonts w:ascii="Arial" w:hAnsi="Arial" w:eastAsia="Arial" w:cs="Arial"/>
      <w:b/>
      <w:bCs/>
      <w:sz w:val="26"/>
      <w:szCs w:val="26"/>
    </w:rPr>
  </w:style>
  <w:style w:type="character" w:styleId="955">
    <w:name w:val="Heading 5 Char"/>
    <w:basedOn w:val="1120"/>
    <w:link w:val="1119"/>
    <w:uiPriority w:val="9"/>
    <w:rPr>
      <w:rFonts w:ascii="Arial" w:hAnsi="Arial" w:eastAsia="Arial" w:cs="Arial"/>
      <w:b/>
      <w:bCs/>
      <w:sz w:val="24"/>
      <w:szCs w:val="24"/>
    </w:rPr>
  </w:style>
  <w:style w:type="paragraph" w:styleId="956">
    <w:name w:val="Heading 6"/>
    <w:basedOn w:val="1117"/>
    <w:next w:val="1117"/>
    <w:link w:val="95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57">
    <w:name w:val="Heading 6 Char"/>
    <w:basedOn w:val="1120"/>
    <w:link w:val="956"/>
    <w:uiPriority w:val="9"/>
    <w:rPr>
      <w:rFonts w:ascii="Arial" w:hAnsi="Arial" w:eastAsia="Arial" w:cs="Arial"/>
      <w:b/>
      <w:bCs/>
      <w:sz w:val="22"/>
      <w:szCs w:val="22"/>
    </w:rPr>
  </w:style>
  <w:style w:type="paragraph" w:styleId="958">
    <w:name w:val="Heading 7"/>
    <w:basedOn w:val="1117"/>
    <w:next w:val="1117"/>
    <w:link w:val="95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59">
    <w:name w:val="Heading 7 Char"/>
    <w:basedOn w:val="1120"/>
    <w:link w:val="9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0">
    <w:name w:val="Heading 8"/>
    <w:basedOn w:val="1117"/>
    <w:next w:val="1117"/>
    <w:link w:val="96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61">
    <w:name w:val="Heading 8 Char"/>
    <w:basedOn w:val="1120"/>
    <w:link w:val="960"/>
    <w:uiPriority w:val="9"/>
    <w:rPr>
      <w:rFonts w:ascii="Arial" w:hAnsi="Arial" w:eastAsia="Arial" w:cs="Arial"/>
      <w:i/>
      <w:iCs/>
      <w:sz w:val="22"/>
      <w:szCs w:val="22"/>
    </w:rPr>
  </w:style>
  <w:style w:type="paragraph" w:styleId="962">
    <w:name w:val="Heading 9"/>
    <w:basedOn w:val="1117"/>
    <w:next w:val="1117"/>
    <w:link w:val="96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3">
    <w:name w:val="Heading 9 Char"/>
    <w:basedOn w:val="1120"/>
    <w:link w:val="962"/>
    <w:uiPriority w:val="9"/>
    <w:rPr>
      <w:rFonts w:ascii="Arial" w:hAnsi="Arial" w:eastAsia="Arial" w:cs="Arial"/>
      <w:i/>
      <w:iCs/>
      <w:sz w:val="21"/>
      <w:szCs w:val="21"/>
    </w:rPr>
  </w:style>
  <w:style w:type="paragraph" w:styleId="964">
    <w:name w:val="No Spacing"/>
    <w:uiPriority w:val="1"/>
    <w:qFormat/>
    <w:pPr>
      <w:spacing w:before="0" w:after="0" w:line="240" w:lineRule="auto"/>
    </w:pPr>
  </w:style>
  <w:style w:type="paragraph" w:styleId="965">
    <w:name w:val="Title"/>
    <w:basedOn w:val="1117"/>
    <w:next w:val="1117"/>
    <w:link w:val="96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966">
    <w:name w:val="Title Char"/>
    <w:basedOn w:val="1120"/>
    <w:link w:val="965"/>
    <w:uiPriority w:val="10"/>
    <w:rPr>
      <w:sz w:val="48"/>
      <w:szCs w:val="48"/>
    </w:rPr>
  </w:style>
  <w:style w:type="paragraph" w:styleId="967">
    <w:name w:val="Subtitle"/>
    <w:basedOn w:val="1117"/>
    <w:next w:val="1117"/>
    <w:link w:val="968"/>
    <w:uiPriority w:val="11"/>
    <w:qFormat/>
    <w:pPr>
      <w:spacing w:before="200" w:after="200"/>
    </w:pPr>
    <w:rPr>
      <w:sz w:val="24"/>
      <w:szCs w:val="24"/>
    </w:rPr>
  </w:style>
  <w:style w:type="character" w:styleId="968">
    <w:name w:val="Subtitle Char"/>
    <w:basedOn w:val="1120"/>
    <w:link w:val="967"/>
    <w:uiPriority w:val="11"/>
    <w:rPr>
      <w:sz w:val="24"/>
      <w:szCs w:val="24"/>
    </w:rPr>
  </w:style>
  <w:style w:type="paragraph" w:styleId="969">
    <w:name w:val="Quote"/>
    <w:basedOn w:val="1117"/>
    <w:next w:val="1117"/>
    <w:link w:val="970"/>
    <w:uiPriority w:val="29"/>
    <w:qFormat/>
    <w:pPr>
      <w:ind w:left="720" w:right="720"/>
    </w:pPr>
    <w:rPr>
      <w:i/>
    </w:rPr>
  </w:style>
  <w:style w:type="character" w:styleId="970">
    <w:name w:val="Quote Char"/>
    <w:link w:val="969"/>
    <w:uiPriority w:val="29"/>
    <w:rPr>
      <w:i/>
    </w:rPr>
  </w:style>
  <w:style w:type="paragraph" w:styleId="971">
    <w:name w:val="Intense Quote"/>
    <w:basedOn w:val="1117"/>
    <w:next w:val="1117"/>
    <w:link w:val="97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972">
    <w:name w:val="Intense Quote Char"/>
    <w:link w:val="971"/>
    <w:uiPriority w:val="30"/>
    <w:rPr>
      <w:i/>
    </w:rPr>
  </w:style>
  <w:style w:type="character" w:styleId="973">
    <w:name w:val="Header Char"/>
    <w:basedOn w:val="1120"/>
    <w:link w:val="1130"/>
    <w:uiPriority w:val="99"/>
  </w:style>
  <w:style w:type="character" w:styleId="974">
    <w:name w:val="Footer Char"/>
    <w:basedOn w:val="1120"/>
    <w:link w:val="1125"/>
    <w:uiPriority w:val="99"/>
  </w:style>
  <w:style w:type="paragraph" w:styleId="975">
    <w:name w:val="Caption"/>
    <w:basedOn w:val="1117"/>
    <w:next w:val="1117"/>
    <w:link w:val="9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76">
    <w:name w:val="Caption Char"/>
    <w:basedOn w:val="975"/>
    <w:link w:val="1125"/>
    <w:uiPriority w:val="99"/>
  </w:style>
  <w:style w:type="table" w:styleId="977">
    <w:name w:val="Table Grid Light"/>
    <w:basedOn w:val="11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>
    <w:name w:val="Plain Table 1"/>
    <w:basedOn w:val="11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9">
    <w:name w:val="Plain Table 2"/>
    <w:basedOn w:val="11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0">
    <w:name w:val="Plain Table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1">
    <w:name w:val="Plain Table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Plain Table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83">
    <w:name w:val="Grid Table 1 Light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1 Light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1 Light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91">
    <w:name w:val="Grid Table 2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92">
    <w:name w:val="Grid Table 2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93">
    <w:name w:val="Grid Table 2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94">
    <w:name w:val="Grid Table 2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95">
    <w:name w:val="Grid Table 2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96">
    <w:name w:val="Grid Table 2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97">
    <w:name w:val="Grid Table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98">
    <w:name w:val="Grid Table 3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99">
    <w:name w:val="Grid Table 3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00">
    <w:name w:val="Grid Table 3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01">
    <w:name w:val="Grid Table 3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02">
    <w:name w:val="Grid Table 3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03">
    <w:name w:val="Grid Table 3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04">
    <w:name w:val="Grid Table 4"/>
    <w:basedOn w:val="11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5">
    <w:name w:val="Grid Table 4 - Accent 1"/>
    <w:basedOn w:val="11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06">
    <w:name w:val="Grid Table 4 - Accent 2"/>
    <w:basedOn w:val="11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7">
    <w:name w:val="Grid Table 4 - Accent 3"/>
    <w:basedOn w:val="11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08">
    <w:name w:val="Grid Table 4 - Accent 4"/>
    <w:basedOn w:val="11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9">
    <w:name w:val="Grid Table 4 - Accent 5"/>
    <w:basedOn w:val="11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0">
    <w:name w:val="Grid Table 4 - Accent 6"/>
    <w:basedOn w:val="11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1">
    <w:name w:val="Grid Table 5 Dark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012">
    <w:name w:val="Grid Table 5 Dark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1013">
    <w:name w:val="Grid Table 5 Dark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1014">
    <w:name w:val="Grid Table 5 Dark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1015">
    <w:name w:val="Grid Table 5 Dark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1016">
    <w:name w:val="Grid Table 5 Dark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1017">
    <w:name w:val="Grid Table 5 Dark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1018">
    <w:name w:val="Grid Table 6 Colorful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19">
    <w:name w:val="Grid Table 6 Colorful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0">
    <w:name w:val="Grid Table 6 Colorful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1">
    <w:name w:val="Grid Table 6 Colorful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22">
    <w:name w:val="Grid Table 6 Colorful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23">
    <w:name w:val="Grid Table 6 Colorful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4">
    <w:name w:val="Grid Table 6 Colorful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5">
    <w:name w:val="Grid Table 7 Colorful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026">
    <w:name w:val="Grid Table 7 Colorful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027">
    <w:name w:val="Grid Table 7 Colorful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028">
    <w:name w:val="Grid Table 7 Colorful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029">
    <w:name w:val="Grid Table 7 Colorful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030">
    <w:name w:val="Grid Table 7 Colorful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031">
    <w:name w:val="Grid Table 7 Colorful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032">
    <w:name w:val="List Table 1 Light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0">
    <w:name w:val="List Table 2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1">
    <w:name w:val="List Table 2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42">
    <w:name w:val="List Table 2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43">
    <w:name w:val="List Table 2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44">
    <w:name w:val="List Table 2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45">
    <w:name w:val="List Table 2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46">
    <w:name w:val="List Table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3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3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5 Dark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1">
    <w:name w:val="List Table 5 Dark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2">
    <w:name w:val="List Table 5 Dark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3">
    <w:name w:val="List Table 5 Dark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4">
    <w:name w:val="List Table 5 Dark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5">
    <w:name w:val="List Table 5 Dark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6">
    <w:name w:val="List Table 5 Dark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7">
    <w:name w:val="List Table 6 Colorful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68">
    <w:name w:val="List Table 6 Colorful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9">
    <w:name w:val="List Table 6 Colorful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0">
    <w:name w:val="List Table 6 Colorful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1">
    <w:name w:val="List Table 6 Colorful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2">
    <w:name w:val="List Table 6 Colorful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73">
    <w:name w:val="List Table 6 Colorful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74">
    <w:name w:val="List Table 7 Colorful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75">
    <w:name w:val="List Table 7 Colorful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76">
    <w:name w:val="List Table 7 Colorful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77">
    <w:name w:val="List Table 7 Colorful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78">
    <w:name w:val="List Table 7 Colorful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79">
    <w:name w:val="List Table 7 Colorful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80">
    <w:name w:val="List Table 7 Colorful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81">
    <w:name w:val="Lined - Accent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2">
    <w:name w:val="Lined - Accent 1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83">
    <w:name w:val="Lined - Accent 2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84">
    <w:name w:val="Lined - Accent 3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85">
    <w:name w:val="Lined - Accent 4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86">
    <w:name w:val="Lined - Accent 5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7">
    <w:name w:val="Lined - Accent 6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8">
    <w:name w:val="Bordered &amp; Lined - Accent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9">
    <w:name w:val="Bordered &amp; Lined - Accent 1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0">
    <w:name w:val="Bordered &amp; Lined - Accent 2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1">
    <w:name w:val="Bordered &amp; Lined - Accent 3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2">
    <w:name w:val="Bordered &amp; Lined - Accent 4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3">
    <w:name w:val="Bordered &amp; Lined - Accent 5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4">
    <w:name w:val="Bordered &amp; Lined - Accent 6"/>
    <w:basedOn w:val="11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5">
    <w:name w:val="Bordered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96">
    <w:name w:val="Bordered - Accent 1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7">
    <w:name w:val="Bordered - Accent 2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98">
    <w:name w:val="Bordered - Accent 3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99">
    <w:name w:val="Bordered - Accent 4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0">
    <w:name w:val="Bordered - Accent 5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1">
    <w:name w:val="Bordered - Accent 6"/>
    <w:basedOn w:val="11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02">
    <w:name w:val="Footnote Text Char"/>
    <w:link w:val="1186"/>
    <w:uiPriority w:val="99"/>
    <w:rPr>
      <w:sz w:val="18"/>
    </w:rPr>
  </w:style>
  <w:style w:type="paragraph" w:styleId="1103">
    <w:name w:val="endnote text"/>
    <w:basedOn w:val="1117"/>
    <w:link w:val="1104"/>
    <w:uiPriority w:val="99"/>
    <w:semiHidden/>
    <w:unhideWhenUsed/>
    <w:pPr>
      <w:spacing w:after="0" w:line="240" w:lineRule="auto"/>
    </w:pPr>
    <w:rPr>
      <w:sz w:val="20"/>
    </w:rPr>
  </w:style>
  <w:style w:type="character" w:styleId="1104">
    <w:name w:val="Endnote Text Char"/>
    <w:link w:val="1103"/>
    <w:uiPriority w:val="99"/>
    <w:rPr>
      <w:sz w:val="20"/>
    </w:rPr>
  </w:style>
  <w:style w:type="character" w:styleId="1105">
    <w:name w:val="endnote reference"/>
    <w:basedOn w:val="1120"/>
    <w:uiPriority w:val="99"/>
    <w:semiHidden/>
    <w:unhideWhenUsed/>
    <w:rPr>
      <w:vertAlign w:val="superscript"/>
    </w:rPr>
  </w:style>
  <w:style w:type="paragraph" w:styleId="1106">
    <w:name w:val="toc 1"/>
    <w:basedOn w:val="1117"/>
    <w:next w:val="1117"/>
    <w:uiPriority w:val="39"/>
    <w:unhideWhenUsed/>
    <w:pPr>
      <w:spacing w:after="57"/>
      <w:ind w:left="0" w:right="0" w:firstLine="0"/>
    </w:pPr>
  </w:style>
  <w:style w:type="paragraph" w:styleId="1107">
    <w:name w:val="toc 2"/>
    <w:basedOn w:val="1117"/>
    <w:next w:val="1117"/>
    <w:uiPriority w:val="39"/>
    <w:unhideWhenUsed/>
    <w:pPr>
      <w:spacing w:after="57"/>
      <w:ind w:left="283" w:right="0" w:firstLine="0"/>
    </w:pPr>
  </w:style>
  <w:style w:type="paragraph" w:styleId="1108">
    <w:name w:val="toc 3"/>
    <w:basedOn w:val="1117"/>
    <w:next w:val="1117"/>
    <w:uiPriority w:val="39"/>
    <w:unhideWhenUsed/>
    <w:pPr>
      <w:spacing w:after="57"/>
      <w:ind w:left="567" w:right="0" w:firstLine="0"/>
    </w:pPr>
  </w:style>
  <w:style w:type="paragraph" w:styleId="1109">
    <w:name w:val="toc 4"/>
    <w:basedOn w:val="1117"/>
    <w:next w:val="1117"/>
    <w:uiPriority w:val="39"/>
    <w:unhideWhenUsed/>
    <w:pPr>
      <w:spacing w:after="57"/>
      <w:ind w:left="850" w:right="0" w:firstLine="0"/>
    </w:pPr>
  </w:style>
  <w:style w:type="paragraph" w:styleId="1110">
    <w:name w:val="toc 5"/>
    <w:basedOn w:val="1117"/>
    <w:next w:val="1117"/>
    <w:uiPriority w:val="39"/>
    <w:unhideWhenUsed/>
    <w:pPr>
      <w:spacing w:after="57"/>
      <w:ind w:left="1134" w:right="0" w:firstLine="0"/>
    </w:pPr>
  </w:style>
  <w:style w:type="paragraph" w:styleId="1111">
    <w:name w:val="toc 6"/>
    <w:basedOn w:val="1117"/>
    <w:next w:val="1117"/>
    <w:uiPriority w:val="39"/>
    <w:unhideWhenUsed/>
    <w:pPr>
      <w:spacing w:after="57"/>
      <w:ind w:left="1417" w:right="0" w:firstLine="0"/>
    </w:pPr>
  </w:style>
  <w:style w:type="paragraph" w:styleId="1112">
    <w:name w:val="toc 7"/>
    <w:basedOn w:val="1117"/>
    <w:next w:val="1117"/>
    <w:uiPriority w:val="39"/>
    <w:unhideWhenUsed/>
    <w:pPr>
      <w:spacing w:after="57"/>
      <w:ind w:left="1701" w:right="0" w:firstLine="0"/>
    </w:pPr>
  </w:style>
  <w:style w:type="paragraph" w:styleId="1113">
    <w:name w:val="toc 8"/>
    <w:basedOn w:val="1117"/>
    <w:next w:val="1117"/>
    <w:uiPriority w:val="39"/>
    <w:unhideWhenUsed/>
    <w:pPr>
      <w:spacing w:after="57"/>
      <w:ind w:left="1984" w:right="0" w:firstLine="0"/>
    </w:pPr>
  </w:style>
  <w:style w:type="paragraph" w:styleId="1114">
    <w:name w:val="toc 9"/>
    <w:basedOn w:val="1117"/>
    <w:next w:val="1117"/>
    <w:uiPriority w:val="39"/>
    <w:unhideWhenUsed/>
    <w:pPr>
      <w:spacing w:after="57"/>
      <w:ind w:left="2268" w:right="0" w:firstLine="0"/>
    </w:pPr>
  </w:style>
  <w:style w:type="paragraph" w:styleId="1115">
    <w:name w:val="TOC Heading"/>
    <w:uiPriority w:val="39"/>
    <w:unhideWhenUsed/>
  </w:style>
  <w:style w:type="paragraph" w:styleId="1116">
    <w:name w:val="table of figures"/>
    <w:basedOn w:val="1117"/>
    <w:next w:val="1117"/>
    <w:uiPriority w:val="99"/>
    <w:unhideWhenUsed/>
    <w:pPr>
      <w:spacing w:after="0" w:afterAutospacing="0"/>
    </w:pPr>
  </w:style>
  <w:style w:type="paragraph" w:styleId="1117" w:default="1">
    <w:name w:val="Normal"/>
    <w:qFormat/>
  </w:style>
  <w:style w:type="paragraph" w:styleId="1118">
    <w:name w:val="Heading 1"/>
    <w:basedOn w:val="1117"/>
    <w:next w:val="1117"/>
    <w:link w:val="1132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Cs w:val="20"/>
      <w:lang w:eastAsia="ru-RU"/>
    </w:rPr>
  </w:style>
  <w:style w:type="paragraph" w:styleId="1119">
    <w:name w:val="Heading 5"/>
    <w:basedOn w:val="1117"/>
    <w:next w:val="1117"/>
    <w:link w:val="1175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1120" w:default="1">
    <w:name w:val="Default Paragraph Font"/>
    <w:uiPriority w:val="1"/>
    <w:semiHidden/>
    <w:unhideWhenUsed/>
  </w:style>
  <w:style w:type="table" w:styleId="11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22" w:default="1">
    <w:name w:val="No List"/>
    <w:uiPriority w:val="99"/>
    <w:semiHidden/>
    <w:unhideWhenUsed/>
  </w:style>
  <w:style w:type="paragraph" w:styleId="1123">
    <w:name w:val="Balloon Text"/>
    <w:basedOn w:val="1117"/>
    <w:link w:val="11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24" w:customStyle="1">
    <w:name w:val="Текст выноски Знак"/>
    <w:basedOn w:val="1120"/>
    <w:link w:val="1123"/>
    <w:uiPriority w:val="99"/>
    <w:semiHidden/>
    <w:rPr>
      <w:rFonts w:ascii="Segoe UI" w:hAnsi="Segoe UI" w:cs="Segoe UI"/>
      <w:sz w:val="18"/>
      <w:szCs w:val="18"/>
    </w:rPr>
  </w:style>
  <w:style w:type="paragraph" w:styleId="1125">
    <w:name w:val="Footer"/>
    <w:basedOn w:val="1117"/>
    <w:link w:val="1127"/>
    <w:uiPriority w:val="99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6" w:customStyle="1">
    <w:name w:val="Нижний колонтитул Знак"/>
    <w:basedOn w:val="1120"/>
    <w:uiPriority w:val="99"/>
  </w:style>
  <w:style w:type="character" w:styleId="1127" w:customStyle="1">
    <w:name w:val="Нижний колонтитул Знак1"/>
    <w:basedOn w:val="1120"/>
    <w:link w:val="112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8" w:customStyle="1">
    <w:name w:val="em-абзац"/>
    <w:basedOn w:val="1117"/>
    <w:link w:val="1129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lang w:eastAsia="ru-RU"/>
    </w:rPr>
  </w:style>
  <w:style w:type="character" w:styleId="1129" w:customStyle="1">
    <w:name w:val="em-абзац Знак"/>
    <w:basedOn w:val="1120"/>
    <w:link w:val="1128"/>
    <w:rPr>
      <w:rFonts w:ascii="Times New Roman" w:hAnsi="Times New Roman" w:eastAsia="Times New Roman" w:cs="Times New Roman"/>
      <w:lang w:eastAsia="ru-RU"/>
    </w:rPr>
  </w:style>
  <w:style w:type="paragraph" w:styleId="1130">
    <w:name w:val="Header"/>
    <w:basedOn w:val="1117"/>
    <w:link w:val="1131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31" w:customStyle="1">
    <w:name w:val="Верхний колонтитул Знак"/>
    <w:basedOn w:val="1120"/>
    <w:link w:val="113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32" w:customStyle="1">
    <w:name w:val="Заголовок 1 Знак"/>
    <w:basedOn w:val="1120"/>
    <w:link w:val="1118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1133">
    <w:name w:val="Hyperlink"/>
    <w:basedOn w:val="1120"/>
    <w:uiPriority w:val="99"/>
    <w:rPr>
      <w:rFonts w:cs="Times New Roman"/>
      <w:color w:val="0000ff"/>
      <w:u w:val="single"/>
    </w:rPr>
  </w:style>
  <w:style w:type="paragraph" w:styleId="1134" w:customStyle="1">
    <w:name w:val="em-пункт"/>
    <w:basedOn w:val="1117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b/>
      <w:lang w:eastAsia="ru-RU"/>
    </w:rPr>
  </w:style>
  <w:style w:type="paragraph" w:styleId="1135" w:customStyle="1">
    <w:name w:val="em-подраздел"/>
    <w:basedOn w:val="1117"/>
    <w:link w:val="1136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b/>
      <w:lang w:eastAsia="ru-RU"/>
    </w:rPr>
  </w:style>
  <w:style w:type="character" w:styleId="1136" w:customStyle="1">
    <w:name w:val="em-подраздел Знак"/>
    <w:basedOn w:val="1120"/>
    <w:link w:val="1135"/>
    <w:rPr>
      <w:rFonts w:ascii="Times New Roman" w:hAnsi="Times New Roman" w:eastAsia="Times New Roman" w:cs="Times New Roman"/>
      <w:b/>
      <w:lang w:eastAsia="ru-RU"/>
    </w:rPr>
  </w:style>
  <w:style w:type="paragraph" w:styleId="1137">
    <w:name w:val="List Paragraph"/>
    <w:basedOn w:val="1117"/>
    <w:link w:val="1153"/>
    <w:uiPriority w:val="34"/>
    <w:qFormat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1138" w:customStyle="1">
    <w:name w:val="__SUBST"/>
    <w:rPr>
      <w:b/>
      <w:i/>
      <w:sz w:val="22"/>
    </w:rPr>
  </w:style>
  <w:style w:type="paragraph" w:styleId="1139" w:customStyle="1">
    <w:name w:val="prilozhenie"/>
    <w:basedOn w:val="1117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140" w:customStyle="1">
    <w:name w:val="БДО информация"/>
    <w:pPr>
      <w:spacing w:after="0" w:line="220" w:lineRule="exact"/>
      <w:jc w:val="both"/>
    </w:pPr>
    <w:rPr>
      <w:rFonts w:ascii="Garamond" w:hAnsi="Garamond" w:eastAsia="Times New Roman" w:cs="Garamond"/>
      <w:lang w:eastAsia="ru-RU"/>
    </w:rPr>
  </w:style>
  <w:style w:type="paragraph" w:styleId="1141" w:customStyle="1">
    <w:name w:val="Normal Prefix"/>
    <w:link w:val="1142"/>
    <w:pPr>
      <w:widowControl w:val="off"/>
      <w:spacing w:before="200" w:after="40" w:line="240" w:lineRule="auto"/>
    </w:pPr>
    <w:rPr>
      <w:rFonts w:ascii="Times New Roman" w:hAnsi="Times New Roman" w:eastAsia="Times New Roman" w:cs="Times New Roman"/>
      <w:lang w:val="en-AU" w:eastAsia="ru-RU"/>
    </w:rPr>
  </w:style>
  <w:style w:type="character" w:styleId="1142" w:customStyle="1">
    <w:name w:val="Normal Prefix Char1"/>
    <w:link w:val="1141"/>
    <w:rPr>
      <w:rFonts w:ascii="Times New Roman" w:hAnsi="Times New Roman" w:eastAsia="Times New Roman" w:cs="Times New Roman"/>
      <w:lang w:val="en-AU" w:eastAsia="ru-RU"/>
    </w:rPr>
  </w:style>
  <w:style w:type="paragraph" w:styleId="1143" w:customStyle="1">
    <w:name w:val="RSHB - paragrah in Notes"/>
    <w:qFormat/>
    <w:pPr>
      <w:spacing w:after="120" w:line="240" w:lineRule="auto"/>
      <w:jc w:val="both"/>
    </w:pPr>
    <w:rPr>
      <w:rFonts w:ascii="Arial" w:hAnsi="Arial" w:eastAsia="Times New Roman" w:cs="Arial"/>
      <w:sz w:val="20"/>
      <w:szCs w:val="20"/>
      <w:lang w:val="en-GB" w:eastAsia="ru-RU"/>
    </w:rPr>
  </w:style>
  <w:style w:type="paragraph" w:styleId="1144" w:customStyle="1">
    <w:name w:val="ABC - paragrah in Notes"/>
    <w:link w:val="1145"/>
    <w:qFormat/>
    <w:pPr>
      <w:spacing w:after="240" w:line="216" w:lineRule="auto"/>
      <w:jc w:val="both"/>
    </w:pPr>
    <w:rPr>
      <w:rFonts w:ascii="Arial" w:hAnsi="Arial" w:eastAsia="Times New Roman" w:cs="Times New Roman"/>
      <w:sz w:val="20"/>
      <w:szCs w:val="20"/>
      <w:lang w:val="en-GB"/>
    </w:rPr>
  </w:style>
  <w:style w:type="character" w:styleId="1145" w:customStyle="1">
    <w:name w:val="ABC - paragrah in Notes Char1"/>
    <w:link w:val="1144"/>
    <w:rPr>
      <w:rFonts w:ascii="Arial" w:hAnsi="Arial" w:eastAsia="Times New Roman" w:cs="Times New Roman"/>
      <w:sz w:val="20"/>
      <w:szCs w:val="20"/>
      <w:lang w:val="en-GB"/>
    </w:rPr>
  </w:style>
  <w:style w:type="character" w:styleId="1146" w:customStyle="1">
    <w:name w:val="Font Style134"/>
    <w:rPr>
      <w:rFonts w:ascii="Arial" w:hAnsi="Arial" w:cs="Arial"/>
      <w:sz w:val="16"/>
      <w:szCs w:val="16"/>
    </w:rPr>
  </w:style>
  <w:style w:type="paragraph" w:styleId="1147" w:customStyle="1">
    <w:name w:val="Style11"/>
    <w:basedOn w:val="1117"/>
    <w:pPr>
      <w:widowControl w:val="off"/>
      <w:spacing w:after="0" w:line="213" w:lineRule="exact"/>
      <w:ind w:left="40" w:right="1457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1148" w:customStyle="1">
    <w:name w:val="Style67"/>
    <w:basedOn w:val="1117"/>
    <w:pPr>
      <w:widowControl w:val="off"/>
      <w:spacing w:after="0" w:line="226" w:lineRule="exact"/>
      <w:ind w:left="40" w:right="1457" w:hanging="552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1149" w:customStyle="1">
    <w:name w:val="RSHB - Bullets in Notes"/>
    <w:pPr>
      <w:tabs>
        <w:tab w:val="left" w:pos="851" w:leader="none"/>
      </w:tabs>
      <w:spacing w:after="120" w:line="216" w:lineRule="auto"/>
      <w:ind w:right="17"/>
      <w:jc w:val="both"/>
    </w:pPr>
    <w:rPr>
      <w:rFonts w:ascii="Arial" w:hAnsi="Arial" w:eastAsia="Times New Roman" w:cs="Arial"/>
      <w:sz w:val="20"/>
      <w:szCs w:val="18"/>
      <w:lang w:val="en-GB" w:eastAsia="ru-RU"/>
    </w:rPr>
  </w:style>
  <w:style w:type="character" w:styleId="1150" w:customStyle="1">
    <w:name w:val="ABC - paragrah in Notes Char"/>
    <w:rPr>
      <w:lang w:val="en-GB" w:eastAsia="en-US"/>
    </w:rPr>
  </w:style>
  <w:style w:type="paragraph" w:styleId="1151" w:customStyle="1">
    <w:name w:val="RSHB - Continued"/>
    <w:qFormat/>
    <w:pPr>
      <w:spacing w:after="240" w:line="240" w:lineRule="auto"/>
      <w:ind w:left="567" w:hanging="567"/>
      <w:jc w:val="both"/>
    </w:pPr>
    <w:rPr>
      <w:rFonts w:ascii="Arial" w:hAnsi="Arial" w:eastAsia="Times New Roman" w:cs="Arial"/>
      <w:b/>
      <w:bCs/>
      <w:sz w:val="20"/>
      <w:szCs w:val="20"/>
      <w:lang w:val="en-US" w:eastAsia="ru-RU"/>
    </w:rPr>
  </w:style>
  <w:style w:type="paragraph" w:styleId="1152" w:customStyle="1">
    <w:name w:val="Comment Subject1"/>
    <w:basedOn w:val="1155"/>
    <w:next w:val="1155"/>
    <w:semiHidden/>
    <w:pPr>
      <w:spacing w:after="0" w:line="216" w:lineRule="auto"/>
      <w:ind w:right="17"/>
    </w:pPr>
    <w:rPr>
      <w:rFonts w:ascii="Arial" w:hAnsi="Arial" w:eastAsia="Times New Roman" w:cs="Arial"/>
      <w:b/>
      <w:bCs/>
      <w:sz w:val="18"/>
      <w:szCs w:val="18"/>
      <w:lang w:val="en-GB" w:eastAsia="ru-RU"/>
    </w:rPr>
  </w:style>
  <w:style w:type="character" w:styleId="1153" w:customStyle="1">
    <w:name w:val="Абзац списка Знак"/>
    <w:link w:val="1137"/>
    <w:uiPriority w:val="34"/>
    <w:rPr>
      <w:rFonts w:eastAsiaTheme="minorEastAsia"/>
      <w:lang w:val="en-US"/>
    </w:rPr>
  </w:style>
  <w:style w:type="character" w:styleId="1154" w:customStyle="1">
    <w:name w:val="ABC - subhead in Notes"/>
    <w:rPr>
      <w:b/>
      <w:bCs/>
      <w:i/>
      <w:iCs/>
    </w:rPr>
  </w:style>
  <w:style w:type="paragraph" w:styleId="1155">
    <w:name w:val="annotation text"/>
    <w:basedOn w:val="1117"/>
    <w:link w:val="1156"/>
    <w:uiPriority w:val="99"/>
    <w:unhideWhenUsed/>
    <w:pPr>
      <w:spacing w:line="240" w:lineRule="auto"/>
    </w:pPr>
    <w:rPr>
      <w:sz w:val="20"/>
      <w:szCs w:val="20"/>
    </w:rPr>
  </w:style>
  <w:style w:type="character" w:styleId="1156" w:customStyle="1">
    <w:name w:val="Текст примечания Знак"/>
    <w:basedOn w:val="1120"/>
    <w:link w:val="1155"/>
    <w:uiPriority w:val="99"/>
    <w:rPr>
      <w:sz w:val="20"/>
      <w:szCs w:val="20"/>
    </w:rPr>
  </w:style>
  <w:style w:type="paragraph" w:styleId="1157" w:customStyle="1">
    <w:name w:val="Titre ABC2"/>
    <w:basedOn w:val="1165"/>
    <w:uiPriority w:val="54"/>
    <w:pPr>
      <w:spacing w:line="220" w:lineRule="auto"/>
      <w:ind w:left="198" w:right="17" w:hanging="198"/>
    </w:pPr>
    <w:rPr>
      <w:rFonts w:ascii="Arial" w:hAnsi="Arial" w:eastAsia="Times New Roman" w:cs="Arial"/>
      <w:bCs/>
      <w:sz w:val="18"/>
      <w:szCs w:val="18"/>
      <w:lang w:val="en-US" w:eastAsia="ru-RU"/>
    </w:rPr>
  </w:style>
  <w:style w:type="paragraph" w:styleId="1158" w:customStyle="1">
    <w:name w:val="Table text"/>
    <w:basedOn w:val="1117"/>
    <w:pPr>
      <w:spacing w:after="0" w:line="216" w:lineRule="auto"/>
      <w:ind w:left="85" w:right="17" w:hanging="85"/>
    </w:pPr>
    <w:rPr>
      <w:rFonts w:ascii="Arial" w:hAnsi="Arial" w:eastAsia="Times New Roman" w:cs="Arial"/>
      <w:sz w:val="18"/>
      <w:szCs w:val="18"/>
      <w:lang w:val="en-GB" w:eastAsia="ru-RU"/>
    </w:rPr>
  </w:style>
  <w:style w:type="paragraph" w:styleId="1159" w:customStyle="1">
    <w:name w:val="Row header"/>
    <w:basedOn w:val="1117"/>
    <w:pPr>
      <w:spacing w:after="0" w:line="216" w:lineRule="auto"/>
      <w:ind w:left="85" w:right="17" w:hanging="85"/>
    </w:pPr>
    <w:rPr>
      <w:rFonts w:ascii="Arial" w:hAnsi="Arial" w:eastAsia="Times New Roman" w:cs="Arial"/>
      <w:b/>
      <w:sz w:val="18"/>
      <w:szCs w:val="18"/>
      <w:lang w:val="en-GB" w:eastAsia="ru-RU"/>
    </w:rPr>
  </w:style>
  <w:style w:type="paragraph" w:styleId="1160" w:customStyle="1">
    <w:name w:val="Column header"/>
    <w:basedOn w:val="1117"/>
    <w:uiPriority w:val="6"/>
    <w:pPr>
      <w:tabs>
        <w:tab w:val="decimal" w:pos="1503" w:leader="none"/>
      </w:tabs>
      <w:spacing w:after="0" w:line="228" w:lineRule="auto"/>
      <w:ind w:right="-56"/>
    </w:pPr>
    <w:rPr>
      <w:rFonts w:ascii="Arial" w:hAnsi="Arial" w:eastAsia="Times New Roman" w:cs="Arial"/>
      <w:b/>
      <w:sz w:val="18"/>
      <w:szCs w:val="18"/>
      <w:lang w:val="en-GB" w:eastAsia="ru-RU"/>
    </w:rPr>
  </w:style>
  <w:style w:type="paragraph" w:styleId="1161" w:customStyle="1">
    <w:name w:val="Table numbers1"/>
    <w:link w:val="1162"/>
    <w:pPr>
      <w:tabs>
        <w:tab w:val="decimal" w:pos="1503" w:leader="none"/>
      </w:tabs>
      <w:spacing w:after="0" w:line="216" w:lineRule="auto"/>
      <w:ind w:right="-56"/>
    </w:pPr>
    <w:rPr>
      <w:rFonts w:ascii="Arial" w:hAnsi="Arial" w:eastAsia="Times New Roman" w:cs="Times New Roman"/>
      <w:sz w:val="18"/>
      <w:szCs w:val="20"/>
      <w:lang w:val="en-GB"/>
    </w:rPr>
  </w:style>
  <w:style w:type="character" w:styleId="1162" w:customStyle="1">
    <w:name w:val="Table numbers1 Char"/>
    <w:link w:val="1161"/>
    <w:rPr>
      <w:rFonts w:ascii="Arial" w:hAnsi="Arial" w:eastAsia="Times New Roman" w:cs="Times New Roman"/>
      <w:sz w:val="18"/>
      <w:szCs w:val="20"/>
      <w:lang w:val="en-GB"/>
    </w:rPr>
  </w:style>
  <w:style w:type="paragraph" w:styleId="1163" w:customStyle="1">
    <w:name w:val="Char Char"/>
    <w:uiPriority w:val="7"/>
    <w:pPr>
      <w:spacing w:after="240" w:line="216" w:lineRule="auto"/>
      <w:jc w:val="both"/>
    </w:pPr>
    <w:rPr>
      <w:rFonts w:ascii="Arial" w:hAnsi="Arial" w:eastAsia="Times New Roman" w:cs="Arial"/>
      <w:sz w:val="20"/>
      <w:szCs w:val="20"/>
      <w:lang w:val="en-GB" w:eastAsia="ru-RU"/>
    </w:rPr>
  </w:style>
  <w:style w:type="paragraph" w:styleId="1164" w:customStyle="1">
    <w:name w:val="RSHB - Table numbers"/>
    <w:qFormat/>
    <w:pPr>
      <w:tabs>
        <w:tab w:val="decimal" w:pos="1503" w:leader="none"/>
      </w:tabs>
      <w:spacing w:after="0" w:line="216" w:lineRule="auto"/>
      <w:ind w:right="-56"/>
    </w:pPr>
    <w:rPr>
      <w:rFonts w:ascii="Arial" w:hAnsi="Arial" w:eastAsia="Times New Roman" w:cs="Times New Roman"/>
      <w:sz w:val="18"/>
      <w:szCs w:val="20"/>
      <w:lang w:val="en-GB"/>
    </w:rPr>
  </w:style>
  <w:style w:type="paragraph" w:styleId="1165">
    <w:name w:val="index 2"/>
    <w:basedOn w:val="1117"/>
    <w:next w:val="1117"/>
    <w:uiPriority w:val="99"/>
    <w:semiHidden/>
    <w:unhideWhenUsed/>
    <w:pPr>
      <w:spacing w:after="0" w:line="240" w:lineRule="auto"/>
      <w:ind w:left="440" w:hanging="220"/>
    </w:pPr>
  </w:style>
  <w:style w:type="paragraph" w:styleId="1166">
    <w:name w:val="Body Text"/>
    <w:basedOn w:val="1117"/>
    <w:link w:val="1167"/>
    <w:pPr>
      <w:widowControl w:val="off"/>
      <w:suppressLineNumbers/>
      <w:spacing w:after="0" w:line="216" w:lineRule="auto"/>
      <w:ind w:right="1"/>
      <w:jc w:val="both"/>
    </w:pPr>
    <w:rPr>
      <w:rFonts w:ascii="Arial" w:hAnsi="Arial" w:eastAsia="Times New Roman" w:cs="Arial"/>
      <w:sz w:val="18"/>
      <w:szCs w:val="18"/>
      <w:lang w:val="en-GB" w:eastAsia="ru-RU"/>
    </w:rPr>
  </w:style>
  <w:style w:type="character" w:styleId="1167" w:customStyle="1">
    <w:name w:val="Основной текст Знак"/>
    <w:basedOn w:val="1120"/>
    <w:link w:val="1166"/>
    <w:rPr>
      <w:rFonts w:ascii="Arial" w:hAnsi="Arial" w:eastAsia="Times New Roman" w:cs="Arial"/>
      <w:sz w:val="18"/>
      <w:szCs w:val="18"/>
      <w:lang w:val="en-GB" w:eastAsia="ru-RU"/>
    </w:rPr>
  </w:style>
  <w:style w:type="paragraph" w:styleId="1168" w:customStyle="1">
    <w:name w:val="RR thousands"/>
    <w:basedOn w:val="1117"/>
    <w:link w:val="1169"/>
    <w:pPr>
      <w:spacing w:after="0" w:line="216" w:lineRule="auto"/>
      <w:ind w:left="86" w:right="17" w:hanging="86"/>
    </w:pPr>
    <w:rPr>
      <w:rFonts w:ascii="Arial" w:hAnsi="Arial" w:eastAsia="Times New Roman" w:cs="Arial"/>
      <w:i/>
      <w:iCs/>
      <w:sz w:val="16"/>
      <w:szCs w:val="16"/>
      <w:lang w:val="en-GB" w:eastAsia="ru-RU"/>
    </w:rPr>
  </w:style>
  <w:style w:type="character" w:styleId="1169" w:customStyle="1">
    <w:name w:val="RR thousands Char"/>
    <w:link w:val="1168"/>
    <w:rPr>
      <w:rFonts w:ascii="Arial" w:hAnsi="Arial" w:eastAsia="Times New Roman" w:cs="Arial"/>
      <w:i/>
      <w:iCs/>
      <w:sz w:val="16"/>
      <w:szCs w:val="16"/>
      <w:lang w:val="en-GB" w:eastAsia="ru-RU"/>
    </w:rPr>
  </w:style>
  <w:style w:type="paragraph" w:styleId="1170" w:customStyle="1">
    <w:name w:val="Style15"/>
    <w:basedOn w:val="1117"/>
    <w:uiPriority w:val="54"/>
    <w:pPr>
      <w:widowControl w:val="off"/>
      <w:spacing w:after="0" w:line="216" w:lineRule="auto"/>
      <w:ind w:right="17"/>
    </w:pPr>
    <w:rPr>
      <w:rFonts w:ascii="Arial" w:hAnsi="Arial" w:eastAsia="Times New Roman" w:cs="Arial"/>
      <w:sz w:val="24"/>
      <w:szCs w:val="24"/>
      <w:lang w:eastAsia="ru-RU"/>
    </w:rPr>
  </w:style>
  <w:style w:type="paragraph" w:styleId="1171" w:customStyle="1">
    <w:name w:val="Style17"/>
    <w:basedOn w:val="1117"/>
    <w:uiPriority w:val="54"/>
    <w:pPr>
      <w:widowControl w:val="off"/>
      <w:spacing w:after="0" w:line="197" w:lineRule="exact"/>
      <w:ind w:right="17"/>
    </w:pPr>
    <w:rPr>
      <w:rFonts w:ascii="Arial" w:hAnsi="Arial" w:eastAsia="Times New Roman" w:cs="Arial"/>
      <w:sz w:val="24"/>
      <w:szCs w:val="24"/>
      <w:lang w:eastAsia="ru-RU"/>
    </w:rPr>
  </w:style>
  <w:style w:type="paragraph" w:styleId="1172" w:customStyle="1">
    <w:name w:val="Style24"/>
    <w:basedOn w:val="1117"/>
    <w:uiPriority w:val="54"/>
    <w:pPr>
      <w:widowControl w:val="off"/>
      <w:spacing w:after="0" w:line="216" w:lineRule="auto"/>
      <w:ind w:right="17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1173" w:customStyle="1">
    <w:name w:val="Style41"/>
    <w:basedOn w:val="1117"/>
    <w:uiPriority w:val="54"/>
    <w:pPr>
      <w:widowControl w:val="off"/>
      <w:spacing w:after="0" w:line="216" w:lineRule="exact"/>
      <w:ind w:right="17" w:hanging="120"/>
    </w:pPr>
    <w:rPr>
      <w:rFonts w:ascii="Arial" w:hAnsi="Arial" w:eastAsia="Times New Roman" w:cs="Arial"/>
      <w:sz w:val="24"/>
      <w:szCs w:val="24"/>
      <w:lang w:eastAsia="ru-RU"/>
    </w:rPr>
  </w:style>
  <w:style w:type="paragraph" w:styleId="1174" w:customStyle="1">
    <w:name w:val="RSHB - Column header"/>
    <w:basedOn w:val="1117"/>
    <w:qFormat/>
    <w:pPr>
      <w:tabs>
        <w:tab w:val="decimal" w:pos="1503" w:leader="none"/>
      </w:tabs>
      <w:spacing w:after="0" w:line="228" w:lineRule="auto"/>
      <w:jc w:val="right"/>
    </w:pPr>
    <w:rPr>
      <w:rFonts w:ascii="Arial" w:hAnsi="Arial" w:eastAsia="Times New Roman" w:cs="Times New Roman"/>
      <w:b/>
      <w:sz w:val="18"/>
      <w:szCs w:val="20"/>
      <w:lang w:val="en-GB"/>
    </w:rPr>
  </w:style>
  <w:style w:type="character" w:styleId="1175" w:customStyle="1">
    <w:name w:val="Заголовок 5 Знак"/>
    <w:basedOn w:val="1120"/>
    <w:link w:val="1119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paragraph" w:styleId="1176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lang w:eastAsia="ru-RU"/>
    </w:rPr>
  </w:style>
  <w:style w:type="table" w:styleId="1177">
    <w:name w:val="Table Grid"/>
    <w:basedOn w:val="11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8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79">
    <w:name w:val="Body Text Indent"/>
    <w:basedOn w:val="1117"/>
    <w:link w:val="1180"/>
    <w:uiPriority w:val="99"/>
    <w:semiHidden/>
    <w:unhideWhenUsed/>
    <w:pPr>
      <w:spacing w:after="120"/>
      <w:ind w:left="283"/>
    </w:pPr>
  </w:style>
  <w:style w:type="character" w:styleId="1180" w:customStyle="1">
    <w:name w:val="Основной текст с отступом Знак"/>
    <w:basedOn w:val="1120"/>
    <w:link w:val="1179"/>
    <w:uiPriority w:val="99"/>
    <w:semiHidden/>
  </w:style>
  <w:style w:type="character" w:styleId="1181">
    <w:name w:val="annotation reference"/>
    <w:uiPriority w:val="99"/>
    <w:semiHidden/>
    <w:unhideWhenUsed/>
    <w:rPr>
      <w:sz w:val="16"/>
      <w:szCs w:val="16"/>
    </w:rPr>
  </w:style>
  <w:style w:type="paragraph" w:styleId="1182" w:customStyle="1">
    <w:name w:val="Reports Cover 4"/>
    <w:basedOn w:val="1117"/>
    <w:pPr>
      <w:framePr w:wrap="auto" w:vAnchor="page" w:hAnchor="margin" w:y="2361"/>
      <w:widowControl w:val="off"/>
      <w:tabs>
        <w:tab w:val="left" w:pos="620" w:leader="none"/>
      </w:tabs>
      <w:spacing w:after="0" w:line="400" w:lineRule="exact"/>
      <w:ind w:left="79" w:right="-23"/>
      <w:jc w:val="both"/>
    </w:pPr>
    <w:rPr>
      <w:rFonts w:ascii="Times New Roman" w:hAnsi="Times New Roman" w:eastAsia="Times New Roman" w:cs="Times New Roman"/>
      <w:sz w:val="36"/>
      <w:szCs w:val="20"/>
      <w:lang w:val="en-US"/>
    </w:rPr>
  </w:style>
  <w:style w:type="paragraph" w:styleId="1183">
    <w:name w:val="annotation subject"/>
    <w:basedOn w:val="1155"/>
    <w:next w:val="1155"/>
    <w:link w:val="1184"/>
    <w:uiPriority w:val="99"/>
    <w:semiHidden/>
    <w:unhideWhenUsed/>
    <w:rPr>
      <w:b/>
      <w:bCs/>
    </w:rPr>
  </w:style>
  <w:style w:type="character" w:styleId="1184" w:customStyle="1">
    <w:name w:val="Тема примечания Знак"/>
    <w:basedOn w:val="1156"/>
    <w:link w:val="1183"/>
    <w:uiPriority w:val="99"/>
    <w:semiHidden/>
    <w:rPr>
      <w:b/>
      <w:bCs/>
      <w:sz w:val="20"/>
      <w:szCs w:val="20"/>
    </w:rPr>
  </w:style>
  <w:style w:type="paragraph" w:styleId="1185" w:customStyle="1">
    <w:name w:val="Абзац списка2"/>
    <w:basedOn w:val="1117"/>
    <w:qFormat/>
    <w:pPr>
      <w:spacing w:after="0" w:line="240" w:lineRule="auto"/>
      <w:ind w:left="720"/>
      <w:contextualSpacing/>
    </w:pPr>
    <w:rPr>
      <w:rFonts w:ascii="Times New Roman" w:hAnsi="Times New Roman" w:eastAsia="Arial" w:cs="Times New Roman"/>
      <w:sz w:val="24"/>
      <w:szCs w:val="24"/>
      <w:lang w:eastAsia="ru-RU"/>
    </w:rPr>
  </w:style>
  <w:style w:type="paragraph" w:styleId="1186">
    <w:name w:val="footnote text"/>
    <w:basedOn w:val="1117"/>
    <w:link w:val="1187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187" w:customStyle="1">
    <w:name w:val="Текст сноски Знак"/>
    <w:basedOn w:val="1120"/>
    <w:link w:val="1186"/>
    <w:uiPriority w:val="99"/>
    <w:rPr>
      <w:sz w:val="20"/>
      <w:szCs w:val="20"/>
    </w:rPr>
  </w:style>
  <w:style w:type="character" w:styleId="1188">
    <w:name w:val="footnote reference"/>
    <w:basedOn w:val="1120"/>
    <w:uiPriority w:val="99"/>
    <w:unhideWhenUsed/>
    <w:qFormat/>
    <w:rPr>
      <w:vertAlign w:val="superscript"/>
    </w:rPr>
  </w:style>
  <w:style w:type="character" w:styleId="1189" w:customStyle="1">
    <w:name w:val="Гипертекстовая ссылка"/>
    <w:basedOn w:val="1120"/>
    <w:uiPriority w:val="99"/>
    <w:rPr>
      <w:color w:val="106bbe"/>
    </w:rPr>
  </w:style>
  <w:style w:type="paragraph" w:styleId="1190" w:customStyle="1">
    <w:name w:val="Нормальный (таблица)"/>
    <w:basedOn w:val="1117"/>
    <w:next w:val="1117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1191" w:customStyle="1">
    <w:name w:val="Прижатый влево"/>
    <w:basedOn w:val="1117"/>
    <w:next w:val="1117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1192" w:customStyle="1">
    <w:name w:val="hps"/>
    <w:basedOn w:val="1120"/>
  </w:style>
  <w:style w:type="paragraph" w:styleId="1193" w:customStyle="1">
    <w:name w:val="ConsNormal"/>
    <w:link w:val="1194"/>
    <w:pPr>
      <w:widowControl w:val="off"/>
      <w:spacing w:after="0" w:line="240" w:lineRule="auto"/>
      <w:ind w:right="19772" w:firstLine="720"/>
    </w:pPr>
    <w:rPr>
      <w:rFonts w:ascii="Arial" w:hAnsi="Arial" w:eastAsia="Times New Roman" w:cs="Arial"/>
      <w:sz w:val="24"/>
      <w:szCs w:val="24"/>
      <w:lang w:eastAsia="ru-RU"/>
    </w:rPr>
  </w:style>
  <w:style w:type="character" w:styleId="1194" w:customStyle="1">
    <w:name w:val="ConsNormal Char"/>
    <w:link w:val="1193"/>
    <w:rPr>
      <w:rFonts w:ascii="Arial" w:hAnsi="Arial" w:eastAsia="Times New Roman" w:cs="Arial"/>
      <w:sz w:val="24"/>
      <w:szCs w:val="24"/>
      <w:lang w:eastAsia="ru-RU"/>
    </w:rPr>
  </w:style>
  <w:style w:type="paragraph" w:styleId="1195">
    <w:name w:val="Normal (Web)"/>
    <w:basedOn w:val="11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96">
    <w:name w:val="Strong"/>
    <w:qFormat/>
    <w:rPr>
      <w:rFonts w:cs="Times New Roman"/>
      <w:b/>
      <w:bCs/>
    </w:rPr>
  </w:style>
  <w:style w:type="paragraph" w:styleId="1197" w:customStyle="1">
    <w:name w:val="ConsNonformat"/>
    <w:pPr>
      <w:widowControl w:val="off"/>
      <w:spacing w:after="0" w:line="240" w:lineRule="auto"/>
    </w:pPr>
    <w:rPr>
      <w:rFonts w:ascii="Courier New" w:hAnsi="Courier New" w:eastAsia="Times New Roman" w:cs="Times New Roman"/>
      <w:sz w:val="16"/>
      <w:szCs w:val="20"/>
      <w:lang w:eastAsia="ru-RU"/>
    </w:rPr>
  </w:style>
  <w:style w:type="table" w:styleId="1198" w:customStyle="1">
    <w:name w:val="Сетка таблицы светлая1"/>
    <w:basedOn w:val="1121"/>
    <w:uiPriority w:val="40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1199">
    <w:name w:val="Revision"/>
    <w:hidden/>
    <w:uiPriority w:val="99"/>
    <w:semiHidden/>
    <w:pPr>
      <w:spacing w:after="0" w:line="240" w:lineRule="auto"/>
    </w:pPr>
  </w:style>
  <w:style w:type="character" w:styleId="1200">
    <w:name w:val="Emphasis"/>
    <w:basedOn w:val="112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e-disclosure.ru/portal/company.aspx?id=3207" TargetMode="External"/><Relationship Id="rId12" Type="http://schemas.openxmlformats.org/officeDocument/2006/relationships/hyperlink" Target="http://www.consultant.ru/document/cons_doc_LAW_154017/" TargetMode="External"/><Relationship Id="rId13" Type="http://schemas.openxmlformats.org/officeDocument/2006/relationships/hyperlink" Target="consultantplus://offline/ref=9AEDFF8C039E75E3A7B5597AC488A1B40066042602BCD306C6C282F52CB5F75EFD3A0BF9C666364553D38E8EF3TDC6J" TargetMode="External"/><Relationship Id="rId14" Type="http://schemas.openxmlformats.org/officeDocument/2006/relationships/hyperlink" Target="https://www.rshb.ru/insider/." TargetMode="External"/><Relationship Id="rId15" Type="http://schemas.openxmlformats.org/officeDocument/2006/relationships/hyperlink" Target="https://www.e-disclosure.ru/portal/files.aspx?id=3207&amp;type=4" TargetMode="External"/><Relationship Id="rId16" Type="http://schemas.openxmlformats.org/officeDocument/2006/relationships/hyperlink" Target="https://www.e-disclosure.ru/portal/files.aspx?id=3207&amp;type=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BB5C-28C0-4F95-9D66-2255DD7F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Завиткова Юлия Евгеньевна</dc:creator>
  <cp:lastModifiedBy>prohorova-yue</cp:lastModifiedBy>
  <cp:revision>66</cp:revision>
  <dcterms:created xsi:type="dcterms:W3CDTF">2024-04-01T08:12:00Z</dcterms:created>
  <dcterms:modified xsi:type="dcterms:W3CDTF">2025-04-16T05:58:03Z</dcterms:modified>
</cp:coreProperties>
</file>