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0"/>
        <w:jc w:val="center"/>
        <w:spacing w:line="276" w:lineRule="auto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50"/>
        <w:jc w:val="center"/>
        <w:spacing w:line="276" w:lineRule="auto"/>
        <w:rPr>
          <w:b/>
        </w:rPr>
      </w:pPr>
      <w:r>
        <w:rPr>
          <w:b/>
        </w:rPr>
        <w:t xml:space="preserve">Правила проведения акции</w:t>
      </w:r>
      <w:r>
        <w:rPr>
          <w:b/>
        </w:rPr>
      </w:r>
      <w:r>
        <w:rPr>
          <w:b/>
        </w:rPr>
      </w:r>
    </w:p>
    <w:p>
      <w:pPr>
        <w:pStyle w:val="950"/>
        <w:jc w:val="center"/>
        <w:spacing w:line="276" w:lineRule="auto"/>
        <w:rPr>
          <w:b/>
          <w:bCs/>
          <w:iCs/>
        </w:rPr>
      </w:pPr>
      <w:r>
        <w:rPr>
          <w:b/>
          <w:bCs/>
          <w:iCs/>
        </w:rPr>
        <w:t xml:space="preserve">«</w:t>
      </w:r>
      <w:r>
        <w:rPr>
          <w:b/>
          <w:bCs/>
          <w:iCs/>
        </w:rPr>
        <w:t xml:space="preserve">Специальные условия оформления Пакета услуг</w:t>
      </w:r>
      <w:r>
        <w:rPr>
          <w:b/>
          <w:bCs/>
          <w:iCs/>
        </w:rPr>
        <w:t xml:space="preserve"> «Элит Плюс»</w:t>
      </w:r>
      <w:r>
        <w:rPr>
          <w:b/>
          <w:bCs/>
          <w:iCs/>
        </w:rPr>
        <w:t xml:space="preserve"> в Санкт-Петербургском региональном филиале</w:t>
      </w:r>
      <w:r>
        <w:rPr>
          <w:b/>
          <w:bCs/>
          <w:iCs/>
        </w:rPr>
        <w:t xml:space="preserve"> АО «Россельхозбанк</w:t>
      </w:r>
      <w:r>
        <w:rPr>
          <w:b/>
          <w:bCs/>
          <w:iCs/>
        </w:rPr>
        <w:t xml:space="preserve">»</w:t>
      </w:r>
      <w:r>
        <w:rPr>
          <w:b/>
          <w:bCs/>
          <w:iCs/>
        </w:rPr>
        <w:t xml:space="preserve"> (далее – Правила)</w:t>
      </w:r>
      <w:r>
        <w:rPr>
          <w:b/>
          <w:bCs/>
          <w:iCs/>
        </w:rPr>
      </w:r>
      <w:r>
        <w:rPr>
          <w:b/>
          <w:bCs/>
          <w:iCs/>
        </w:rPr>
      </w:r>
    </w:p>
    <w:p>
      <w:pPr>
        <w:pStyle w:val="950"/>
        <w:jc w:val="center"/>
        <w:spacing w:line="276" w:lineRule="auto"/>
        <w:tabs>
          <w:tab w:val="left" w:pos="567" w:leader="none"/>
        </w:tabs>
        <w:rPr>
          <w:b/>
          <w:u w:val="single"/>
        </w:rPr>
      </w:pPr>
      <w:r>
        <w:rPr>
          <w:b/>
          <w:u w:val="single"/>
        </w:rPr>
      </w:r>
      <w:r>
        <w:rPr>
          <w:b/>
          <w:u w:val="single"/>
        </w:rPr>
      </w:r>
      <w:r>
        <w:rPr>
          <w:b/>
          <w:u w:val="single"/>
        </w:rPr>
      </w:r>
    </w:p>
    <w:p>
      <w:pPr>
        <w:pStyle w:val="950"/>
        <w:numPr>
          <w:ilvl w:val="0"/>
          <w:numId w:val="3"/>
        </w:numPr>
        <w:contextualSpacing/>
        <w:ind w:left="0" w:firstLine="709"/>
        <w:jc w:val="both"/>
        <w:spacing w:line="276" w:lineRule="auto"/>
        <w:tabs>
          <w:tab w:val="left" w:pos="284" w:leader="none"/>
          <w:tab w:val="left" w:pos="993" w:leader="none"/>
          <w:tab w:val="left" w:pos="1134" w:leader="none"/>
          <w:tab w:val="left" w:pos="1276" w:leader="none"/>
        </w:tabs>
      </w:pPr>
      <w:r>
        <w:rPr>
          <w:bCs/>
          <w:color w:val="000000"/>
        </w:rPr>
        <w:t xml:space="preserve">В </w:t>
      </w:r>
      <w:r>
        <w:rPr>
          <w:bCs/>
          <w:color w:val="000000"/>
        </w:rPr>
        <w:t xml:space="preserve">целях </w:t>
      </w:r>
      <w:r>
        <w:rPr>
          <w:bCs/>
          <w:color w:val="000000"/>
        </w:rPr>
        <w:t xml:space="preserve">привлечения физических лиц на премиальное обслуживание</w:t>
      </w:r>
      <w:r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в </w:t>
      </w:r>
      <w:r>
        <w:t xml:space="preserve">рамках Пакета услуг</w:t>
      </w:r>
      <w:r>
        <w:t xml:space="preserve"> «Элит Плюс»</w:t>
      </w:r>
      <w:r>
        <w:t xml:space="preserve"> </w:t>
      </w:r>
      <w:r>
        <w:t xml:space="preserve">в </w:t>
      </w:r>
      <w:r>
        <w:t xml:space="preserve">А</w:t>
      </w:r>
      <w:r>
        <w:t xml:space="preserve">О «Россельхозбанк» (далее – Банк)</w:t>
      </w:r>
      <w:r>
        <w:t xml:space="preserve"> и </w:t>
      </w:r>
      <w:r>
        <w:t xml:space="preserve">активизации </w:t>
      </w:r>
      <w:r>
        <w:t xml:space="preserve">использования продуктов и услуг, входящих в Пакет услуг</w:t>
      </w:r>
      <w:r>
        <w:t xml:space="preserve"> «Элит Плюс»</w:t>
      </w:r>
      <w:r>
        <w:t xml:space="preserve">, Банк проводит акцию «</w:t>
      </w:r>
      <w:r>
        <w:rPr>
          <w:bCs/>
          <w:iCs/>
        </w:rPr>
        <w:t xml:space="preserve">Специальные условия оформления Пакета услуг</w:t>
      </w:r>
      <w:r>
        <w:rPr>
          <w:bCs/>
          <w:iCs/>
        </w:rPr>
        <w:t xml:space="preserve"> </w:t>
      </w:r>
      <w:r>
        <w:rPr>
          <w:bCs/>
          <w:iCs/>
        </w:rPr>
        <w:t xml:space="preserve">«Элит Плюс»</w:t>
      </w:r>
      <w:r>
        <w:rPr>
          <w:bCs/>
          <w:iCs/>
        </w:rPr>
        <w:t xml:space="preserve"> </w:t>
      </w:r>
      <w:r>
        <w:rPr>
          <w:bCs/>
          <w:iCs/>
        </w:rPr>
        <w:t xml:space="preserve">в Санкт-Петербургском региональном филиале </w:t>
        <w:br/>
        <w:t xml:space="preserve">АО «Россельхозбанк</w:t>
      </w:r>
      <w:r>
        <w:t xml:space="preserve">» </w:t>
      </w:r>
      <w:r>
        <w:rPr>
          <w:bCs/>
          <w:color w:val="000000"/>
        </w:rPr>
        <w:t xml:space="preserve">(далее – Акция).</w:t>
      </w:r>
      <w:r/>
    </w:p>
    <w:p>
      <w:pPr>
        <w:pStyle w:val="950"/>
        <w:numPr>
          <w:ilvl w:val="0"/>
          <w:numId w:val="3"/>
        </w:numPr>
        <w:contextualSpacing/>
        <w:ind w:left="1276" w:hanging="567"/>
        <w:jc w:val="both"/>
        <w:spacing w:line="276" w:lineRule="auto"/>
        <w:tabs>
          <w:tab w:val="left" w:pos="284" w:leader="none"/>
          <w:tab w:val="left" w:pos="1134" w:leader="none"/>
        </w:tabs>
        <w:rPr>
          <w:color w:val="ff0000"/>
        </w:rPr>
      </w:pPr>
      <w:r>
        <w:rPr>
          <w:lang w:val="en-US"/>
        </w:rPr>
        <w:t xml:space="preserve">C</w:t>
      </w:r>
      <w:r>
        <w:t xml:space="preserve">рок проведения </w:t>
      </w:r>
      <w:r>
        <w:t xml:space="preserve">А</w:t>
      </w:r>
      <w:r>
        <w:t xml:space="preserve">кции</w:t>
      </w:r>
      <w:r>
        <w:rPr>
          <w:color w:val="000000" w:themeColor="text1"/>
        </w:rPr>
        <w:t xml:space="preserve">: </w:t>
      </w:r>
      <w:r>
        <w:rPr>
          <w:color w:val="000000" w:themeColor="text1"/>
        </w:rPr>
        <w:t xml:space="preserve">с 21.04.2025 по 23.04.2025</w:t>
      </w:r>
      <w:r>
        <w:rPr>
          <w:color w:val="000000" w:themeColor="text1"/>
        </w:rPr>
        <w:t xml:space="preserve">.</w:t>
      </w:r>
      <w:r>
        <w:rPr>
          <w:color w:val="ff0000"/>
        </w:rPr>
      </w:r>
      <w:r>
        <w:rPr>
          <w:color w:val="ff0000"/>
        </w:rPr>
      </w:r>
    </w:p>
    <w:p>
      <w:pPr>
        <w:pStyle w:val="950"/>
        <w:numPr>
          <w:ilvl w:val="0"/>
          <w:numId w:val="3"/>
        </w:numPr>
        <w:contextualSpacing/>
        <w:ind w:left="0" w:firstLine="709"/>
        <w:jc w:val="both"/>
        <w:spacing w:line="276" w:lineRule="auto"/>
        <w:tabs>
          <w:tab w:val="left" w:pos="284" w:leader="none"/>
          <w:tab w:val="left" w:pos="1134" w:leader="none"/>
        </w:tabs>
      </w:pPr>
      <w:r>
        <w:t xml:space="preserve">Место </w:t>
      </w:r>
      <w:r>
        <w:t xml:space="preserve">проведения </w:t>
      </w:r>
      <w:r>
        <w:t xml:space="preserve">А</w:t>
      </w:r>
      <w:r>
        <w:t xml:space="preserve">кци</w:t>
      </w:r>
      <w:r>
        <w:t xml:space="preserve">и</w:t>
      </w:r>
      <w:r>
        <w:t xml:space="preserve">:</w:t>
      </w:r>
      <w:r>
        <w:t xml:space="preserve"> Санкт-Петербургский </w:t>
      </w:r>
      <w:r>
        <w:rPr>
          <w:bCs/>
          <w:iCs/>
        </w:rPr>
        <w:t xml:space="preserve">региональный филиал</w:t>
      </w:r>
      <w:r>
        <w:br/>
        <w:t xml:space="preserve">АО «Россельхозбанк»</w:t>
      </w:r>
      <w:r>
        <w:t xml:space="preserve">,</w:t>
      </w:r>
      <w:r>
        <w:t xml:space="preserve"> </w:t>
      </w:r>
      <w:r>
        <w:t xml:space="preserve">г. Санкт-Петербург, ул. Парадная, д.5 лит. А</w:t>
      </w:r>
      <w:r/>
    </w:p>
    <w:p>
      <w:pPr>
        <w:pStyle w:val="950"/>
        <w:contextualSpacing/>
        <w:ind w:firstLine="567"/>
        <w:jc w:val="both"/>
        <w:spacing w:line="276" w:lineRule="auto"/>
        <w:tabs>
          <w:tab w:val="left" w:pos="0" w:leader="none"/>
          <w:tab w:val="left" w:pos="284" w:leader="none"/>
          <w:tab w:val="left" w:pos="567" w:leader="none"/>
        </w:tabs>
      </w:pPr>
      <w:r>
        <w:tab/>
      </w:r>
      <w:r>
        <w:t xml:space="preserve">4. </w:t>
      </w:r>
      <w:r>
        <w:t xml:space="preserve">Условия </w:t>
      </w:r>
      <w:r>
        <w:t xml:space="preserve">А</w:t>
      </w:r>
      <w:r>
        <w:t xml:space="preserve">кции:</w:t>
      </w:r>
      <w:r>
        <w:t xml:space="preserve"> </w:t>
      </w:r>
      <w:r>
        <w:t xml:space="preserve">д</w:t>
      </w:r>
      <w:r>
        <w:t xml:space="preserve">ля клиентов, подавших заявление на комплексное банковское обслуживание в рамках тарифного плана «Пакет услуг «Элит Плюс» в Срок проведения Акции, указанный в п. 2 настоящих Правил в Санкт-Петербургском </w:t>
      </w:r>
      <w:r>
        <w:rPr>
          <w:bCs/>
          <w:iCs/>
        </w:rPr>
        <w:t xml:space="preserve">региональном филиале </w:t>
      </w:r>
      <w:r>
        <w:br/>
        <w:t xml:space="preserve">АО «Россельхозбанк»</w:t>
      </w:r>
      <w:r>
        <w:t xml:space="preserve">,</w:t>
      </w:r>
      <w:r>
        <w:t xml:space="preserve"> </w:t>
      </w:r>
      <w:r>
        <w:t xml:space="preserve">комиссия</w:t>
      </w:r>
      <w:r>
        <w:t xml:space="preserve"> за обслуживание «Пакета услуг «Элит Плюс» </w:t>
      </w:r>
      <w:r>
        <w:t xml:space="preserve">в период с 21.04.2025 по 20.04.2028 включительно</w:t>
      </w:r>
      <w:r>
        <w:t xml:space="preserve">,</w:t>
      </w:r>
      <w:r>
        <w:t xml:space="preserve"> </w:t>
      </w:r>
      <w:r>
        <w:t xml:space="preserve">не взимается</w:t>
      </w:r>
      <w:r>
        <w:t xml:space="preserve">.</w:t>
      </w:r>
      <w:r/>
    </w:p>
    <w:p>
      <w:pPr>
        <w:pStyle w:val="950"/>
        <w:contextualSpacing/>
        <w:ind w:firstLine="709"/>
        <w:jc w:val="both"/>
        <w:spacing w:line="276" w:lineRule="auto"/>
      </w:pPr>
      <w:r>
        <w:t xml:space="preserve">5.  </w:t>
      </w:r>
      <w:r>
        <w:t xml:space="preserve">Участники Акции</w:t>
      </w:r>
      <w:r>
        <w:t xml:space="preserve">: физические лица</w:t>
      </w:r>
      <w:r>
        <w:t xml:space="preserve">, </w:t>
      </w:r>
      <w:r>
        <w:t xml:space="preserve">подавшие заявлен</w:t>
      </w:r>
      <w:r>
        <w:t xml:space="preserve">ие </w:t>
      </w:r>
      <w:r>
        <w:t xml:space="preserve">на комплексное банковское обслуживание в рамках тарифного плана </w:t>
      </w:r>
      <w:r>
        <w:t xml:space="preserve">Пакет </w:t>
      </w:r>
      <w:r>
        <w:t xml:space="preserve">услуг</w:t>
      </w:r>
      <w:r>
        <w:t xml:space="preserve"> «Элит Плюс»</w:t>
      </w:r>
      <w:r>
        <w:t xml:space="preserve"> </w:t>
      </w:r>
      <w:r>
        <w:t xml:space="preserve">в </w:t>
      </w:r>
      <w:r>
        <w:t xml:space="preserve">срок </w:t>
      </w:r>
      <w:r>
        <w:t xml:space="preserve">проведения </w:t>
      </w:r>
      <w:r>
        <w:t xml:space="preserve">Акции, указанный в пункте </w:t>
      </w:r>
      <w:r>
        <w:t xml:space="preserve">2</w:t>
      </w:r>
      <w:r>
        <w:t xml:space="preserve"> настоящих Правил</w:t>
      </w:r>
      <w:r>
        <w:t xml:space="preserve"> </w:t>
      </w:r>
      <w:r>
        <w:t xml:space="preserve">в Санкт-Петербургском </w:t>
      </w:r>
      <w:r>
        <w:rPr>
          <w:bCs/>
          <w:iCs/>
        </w:rPr>
        <w:t xml:space="preserve">региональном филиале </w:t>
      </w:r>
      <w:r>
        <w:br/>
        <w:t xml:space="preserve">АО «Россельхозбанк»</w:t>
      </w:r>
      <w:r>
        <w:t xml:space="preserve">.</w:t>
      </w:r>
      <w:r/>
    </w:p>
    <w:p>
      <w:pPr>
        <w:pStyle w:val="950"/>
        <w:numPr>
          <w:ilvl w:val="0"/>
          <w:numId w:val="25"/>
        </w:numPr>
        <w:contextualSpacing/>
        <w:ind w:hanging="501"/>
        <w:jc w:val="both"/>
        <w:spacing w:line="276" w:lineRule="auto"/>
        <w:tabs>
          <w:tab w:val="left" w:pos="284" w:leader="none"/>
          <w:tab w:val="left" w:pos="1134" w:leader="none"/>
        </w:tabs>
      </w:pPr>
      <w:r>
        <w:t xml:space="preserve">Организатором Акции является</w:t>
      </w:r>
      <w:r>
        <w:t xml:space="preserve"> Банк.</w:t>
      </w:r>
      <w:r/>
    </w:p>
    <w:p>
      <w:pPr>
        <w:pStyle w:val="950"/>
        <w:numPr>
          <w:ilvl w:val="0"/>
          <w:numId w:val="25"/>
        </w:numPr>
        <w:contextualSpacing/>
        <w:ind w:left="0" w:firstLine="709"/>
        <w:jc w:val="both"/>
        <w:spacing w:line="276" w:lineRule="auto"/>
        <w:tabs>
          <w:tab w:val="left" w:pos="284" w:leader="none"/>
          <w:tab w:val="left" w:pos="1134" w:leader="none"/>
        </w:tabs>
      </w:pPr>
      <w:r>
        <w:t xml:space="preserve">Ответственный за проведение Акции</w:t>
      </w:r>
      <w:r>
        <w:t xml:space="preserve">: </w:t>
      </w:r>
      <w:r>
        <w:t xml:space="preserve">Санкт-Петербургский </w:t>
      </w:r>
      <w:r>
        <w:rPr>
          <w:bCs/>
          <w:iCs/>
        </w:rPr>
        <w:t xml:space="preserve">региональный филиал</w:t>
      </w:r>
      <w:r>
        <w:br w:type="textWrapping" w:clear="all"/>
      </w:r>
      <w:r>
        <w:t xml:space="preserve">АО «Россельхозбанк» (</w:t>
      </w:r>
      <w:r>
        <w:t xml:space="preserve">г. Санкт-Петербург, ул. Парадная, д.5 лит. А</w:t>
      </w:r>
      <w:r>
        <w:t xml:space="preserve">)</w:t>
      </w:r>
      <w:r>
        <w:t xml:space="preserve">.</w:t>
      </w:r>
      <w:r>
        <w:t xml:space="preserve"> </w:t>
      </w:r>
      <w:r/>
    </w:p>
    <w:p>
      <w:pPr>
        <w:pStyle w:val="950"/>
        <w:numPr>
          <w:ilvl w:val="0"/>
          <w:numId w:val="25"/>
        </w:numPr>
        <w:contextualSpacing/>
        <w:ind w:left="0" w:firstLine="709"/>
        <w:jc w:val="both"/>
        <w:spacing w:line="276" w:lineRule="auto"/>
        <w:tabs>
          <w:tab w:val="left" w:pos="284" w:leader="none"/>
          <w:tab w:val="left" w:pos="1134" w:leader="none"/>
        </w:tabs>
      </w:pPr>
      <w:r>
        <w:t xml:space="preserve">Порядок информирования об условиях Акции: </w:t>
      </w:r>
      <w:r>
        <w:t xml:space="preserve">р</w:t>
      </w:r>
      <w:r>
        <w:t xml:space="preserve">азмещение</w:t>
      </w:r>
      <w:r>
        <w:t xml:space="preserve"> информации на сайте </w:t>
      </w:r>
      <w:r>
        <w:br w:type="textWrapping" w:clear="all"/>
      </w:r>
      <w:r>
        <w:t xml:space="preserve">АО «Россельхозбанк» в сети Интернет по адресу: </w:t>
      </w:r>
      <w:r>
        <w:rPr>
          <w:lang w:val="en-US"/>
        </w:rPr>
        <w:fldChar w:fldCharType="begin"/>
      </w:r>
      <w:r>
        <w:instrText xml:space="preserve"> </w:instrText>
      </w:r>
      <w:r>
        <w:rPr>
          <w:lang w:val="en-US"/>
        </w:rPr>
        <w:instrText xml:space="preserve">HYPERLINK</w:instrText>
      </w:r>
      <w:r>
        <w:instrText xml:space="preserve"> "</w:instrText>
      </w:r>
      <w:r>
        <w:rPr>
          <w:lang w:val="en-US"/>
        </w:rPr>
        <w:instrText xml:space="preserve">http</w:instrText>
      </w:r>
      <w:r>
        <w:instrText xml:space="preserve">://</w:instrText>
      </w:r>
      <w:r>
        <w:rPr>
          <w:lang w:val="en-US"/>
        </w:rPr>
        <w:instrText xml:space="preserve">www</w:instrText>
      </w:r>
      <w:r>
        <w:instrText xml:space="preserve">.</w:instrText>
      </w:r>
      <w:r>
        <w:rPr>
          <w:lang w:val="en-US"/>
        </w:rPr>
        <w:instrText xml:space="preserve">rshb</w:instrText>
      </w:r>
      <w:r>
        <w:instrText xml:space="preserve">.</w:instrText>
      </w:r>
      <w:r>
        <w:rPr>
          <w:lang w:val="en-US"/>
        </w:rPr>
        <w:instrText xml:space="preserve">ru</w:instrText>
      </w:r>
      <w:r>
        <w:instrText xml:space="preserve">" </w:instrText>
      </w:r>
      <w:r>
        <w:rPr>
          <w:lang w:val="en-US"/>
        </w:rPr>
        <w:fldChar w:fldCharType="separate"/>
      </w:r>
      <w:r>
        <w:rPr>
          <w:rStyle w:val="975"/>
          <w:lang w:val="en-US"/>
        </w:rPr>
        <w:t xml:space="preserve">www</w:t>
      </w:r>
      <w:r>
        <w:rPr>
          <w:rStyle w:val="975"/>
        </w:rPr>
        <w:t xml:space="preserve">.</w:t>
      </w:r>
      <w:r>
        <w:rPr>
          <w:rStyle w:val="975"/>
          <w:lang w:val="en-US"/>
        </w:rPr>
        <w:t xml:space="preserve">rshb</w:t>
      </w:r>
      <w:r>
        <w:rPr>
          <w:rStyle w:val="975"/>
        </w:rPr>
        <w:t xml:space="preserve">.</w:t>
      </w:r>
      <w:r>
        <w:rPr>
          <w:rStyle w:val="975"/>
          <w:lang w:val="en-US"/>
        </w:rPr>
        <w:t xml:space="preserve">ru</w:t>
      </w:r>
      <w:r>
        <w:rPr>
          <w:lang w:val="en-US"/>
        </w:rPr>
        <w:fldChar w:fldCharType="end"/>
      </w:r>
      <w:r>
        <w:t xml:space="preserve">.</w:t>
      </w:r>
      <w:r/>
    </w:p>
    <w:p>
      <w:pPr>
        <w:contextualSpacing/>
        <w:ind w:firstLine="709"/>
        <w:jc w:val="both"/>
        <w:spacing w:line="276" w:lineRule="auto"/>
        <w:rPr>
          <w14:ligatures w14:val="none"/>
        </w:rPr>
      </w:pPr>
      <w:r>
        <w:t xml:space="preserve">Особые условия проведения Акции: </w:t>
      </w:r>
      <w:r>
        <w:rPr>
          <w14:ligatures w14:val="none"/>
        </w:rPr>
      </w:r>
    </w:p>
    <w:p>
      <w:pPr>
        <w:contextualSpacing/>
        <w:ind w:firstLine="709"/>
        <w:jc w:val="both"/>
        <w:spacing w:line="276" w:lineRule="auto"/>
        <w:rPr>
          <w14:ligatures w14:val="none"/>
        </w:rPr>
      </w:pPr>
      <w:r>
        <w:t xml:space="preserve">9</w:t>
      </w:r>
      <w:r>
        <w:t xml:space="preserve">.</w:t>
      </w:r>
      <w:r>
        <w:tab/>
      </w:r>
      <w:r>
        <w:t xml:space="preserve">Организатор Акции не несет ответственности за перенос сроков проведения Акции и другие изменения, вызванные независящими от него обстоятельствами;</w:t>
      </w:r>
      <w:r>
        <w:rPr>
          <w14:ligatures w14:val="none"/>
        </w:rPr>
      </w:r>
    </w:p>
    <w:p>
      <w:pPr>
        <w:contextualSpacing/>
        <w:ind w:firstLine="709"/>
        <w:jc w:val="both"/>
        <w:spacing w:line="276" w:lineRule="auto"/>
        <w:rPr>
          <w14:ligatures w14:val="none"/>
        </w:rPr>
      </w:pPr>
      <w:r>
        <w:t xml:space="preserve">10</w:t>
      </w:r>
      <w:r>
        <w:t xml:space="preserve">. </w:t>
      </w:r>
      <w:r>
        <w:tab/>
      </w:r>
      <w:r>
        <w:t xml:space="preserve">Факт подачи заявления на комплексное банковское обслуживание в рамках тарифного плана «Пакет услуг «Элит Плюс» означает ознакомление и полное согласие Участника Акции с</w:t>
      </w:r>
      <w:r>
        <w:t xml:space="preserve"> настоящими Правилами</w:t>
      </w:r>
      <w:r>
        <w:t xml:space="preserve">,</w:t>
      </w:r>
      <w:r>
        <w:t xml:space="preserve"> Условиями комплексного банковского обслуживания держателей карт АО «Россельхозбанк»</w:t>
      </w:r>
      <w:r>
        <w:t xml:space="preserve">,</w:t>
      </w:r>
      <w:r>
        <w:t xml:space="preserve"> Условиями предоставления банковских продуктов физическим лицам в рамках Пакета услуг АО «Россельхозбанк»</w:t>
      </w:r>
      <w:r>
        <w:t xml:space="preserve">, </w:t>
      </w:r>
      <w:r>
        <w:t xml:space="preserve">участие в Акции является добровольным.</w:t>
      </w:r>
      <w:r>
        <w:rPr>
          <w14:ligatures w14:val="non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notePr/>
      <w:endnotePr/>
      <w:type w:val="nextPage"/>
      <w:pgSz w:w="11906" w:h="16838" w:orient="portrait"/>
      <w:pgMar w:top="-590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4"/>
      <w:jc w:val="center"/>
    </w:pPr>
    <w:r/>
    <w:r/>
  </w:p>
  <w:p>
    <w:pPr>
      <w:pStyle w:val="96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3</w:t>
    </w:r>
    <w:r>
      <w:fldChar w:fldCharType="end"/>
    </w:r>
    <w:r>
      <w:t xml:space="preserve">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8"/>
      <w:rPr>
        <w:rStyle w:val="961"/>
      </w:rPr>
      <w:framePr w:wrap="around" w:vAnchor="text" w:hAnchor="margin" w:xAlign="center" w:y="1"/>
    </w:pPr>
    <w:r>
      <w:rPr>
        <w:rStyle w:val="961"/>
      </w:rPr>
      <w:fldChar w:fldCharType="begin"/>
    </w:r>
    <w:r>
      <w:rPr>
        <w:rStyle w:val="961"/>
      </w:rPr>
      <w:instrText xml:space="preserve">PAGE  </w:instrText>
    </w:r>
    <w:r>
      <w:rPr>
        <w:rStyle w:val="961"/>
      </w:rPr>
      <w:fldChar w:fldCharType="separate"/>
    </w:r>
    <w:r>
      <w:rPr>
        <w:rStyle w:val="961"/>
      </w:rPr>
      <w:t xml:space="preserve">2</w:t>
    </w:r>
    <w:r>
      <w:rPr>
        <w:rStyle w:val="961"/>
      </w:rPr>
      <w:fldChar w:fldCharType="end"/>
    </w:r>
    <w:r>
      <w:rPr>
        <w:rStyle w:val="961"/>
      </w:rPr>
    </w:r>
    <w:r>
      <w:rPr>
        <w:rStyle w:val="961"/>
      </w:rPr>
    </w:r>
  </w:p>
  <w:p>
    <w:pPr>
      <w:pStyle w:val="95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8"/>
      <w:ind w:left="652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ascii="Symbol" w:hAnsi="Symbol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1429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9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1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3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5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7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9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1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3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0" w:hanging="360"/>
      </w:pPr>
      <w:rPr>
        <w:b w:val="0"/>
        <w:color w:val="000000" w:themeColor="text1"/>
      </w:rPr>
    </w:lvl>
    <w:lvl w:ilvl="1">
      <w:start w:val="1"/>
      <w:numFmt w:val="decimal"/>
      <w:isLgl w:val="false"/>
      <w:suff w:val="tab"/>
      <w:lvlText w:val="%1.%2."/>
      <w:lvlJc w:val="left"/>
      <w:pPr>
        <w:ind w:left="1141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8">
    <w:multiLevelType w:val="hybridMultilevel"/>
    <w:lvl w:ilvl="0">
      <w:start w:val="9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069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847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4625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6403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472" w:hanging="1800"/>
      </w:pPr>
    </w:lvl>
  </w:abstractNum>
  <w:abstractNum w:abstractNumId="9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99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71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43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15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7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9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31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03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757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2"/>
      <w:numFmt w:val="decimal"/>
      <w:isLgl w:val="false"/>
      <w:suff w:val="tab"/>
      <w:lvlText w:val="%1.%2"/>
      <w:lvlJc w:val="left"/>
      <w:pPr>
        <w:ind w:left="1069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429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789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149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09" w:hanging="180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210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141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8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1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3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5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7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9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1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3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5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72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0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141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0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141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0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141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0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141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0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141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19"/>
  </w:num>
  <w:num w:numId="3">
    <w:abstractNumId w:val="7"/>
  </w:num>
  <w:num w:numId="4">
    <w:abstractNumId w:val="2"/>
  </w:num>
  <w:num w:numId="5">
    <w:abstractNumId w:val="4"/>
  </w:num>
  <w:num w:numId="6">
    <w:abstractNumId w:val="20"/>
  </w:num>
  <w:num w:numId="7">
    <w:abstractNumId w:val="10"/>
  </w:num>
  <w:num w:numId="8">
    <w:abstractNumId w:val="1"/>
  </w:num>
  <w:num w:numId="9">
    <w:abstractNumId w:val="11"/>
  </w:num>
  <w:num w:numId="10">
    <w:abstractNumId w:val="21"/>
  </w:num>
  <w:num w:numId="11">
    <w:abstractNumId w:val="12"/>
  </w:num>
  <w:num w:numId="12">
    <w:abstractNumId w:val="0"/>
  </w:num>
  <w:num w:numId="13">
    <w:abstractNumId w:val="22"/>
  </w:num>
  <w:num w:numId="14">
    <w:abstractNumId w:val="23"/>
  </w:num>
  <w:num w:numId="15">
    <w:abstractNumId w:val="18"/>
  </w:num>
  <w:num w:numId="16">
    <w:abstractNumId w:val="8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5"/>
  </w:num>
  <w:num w:numId="20">
    <w:abstractNumId w:val="16"/>
  </w:num>
  <w:num w:numId="21">
    <w:abstractNumId w:val="6"/>
  </w:num>
  <w:num w:numId="22">
    <w:abstractNumId w:val="13"/>
  </w:num>
  <w:num w:numId="23">
    <w:abstractNumId w:val="9"/>
  </w:num>
  <w:num w:numId="24">
    <w:abstractNumId w:val="3"/>
  </w:num>
  <w:num w:numId="25">
    <w:abstractNumId w:val="17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2">
    <w:name w:val="Heading 1"/>
    <w:basedOn w:val="950"/>
    <w:next w:val="950"/>
    <w:link w:val="7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3">
    <w:name w:val="Heading 1 Char"/>
    <w:link w:val="772"/>
    <w:uiPriority w:val="9"/>
    <w:rPr>
      <w:rFonts w:ascii="Arial" w:hAnsi="Arial" w:eastAsia="Arial" w:cs="Arial"/>
      <w:sz w:val="40"/>
      <w:szCs w:val="40"/>
    </w:rPr>
  </w:style>
  <w:style w:type="paragraph" w:styleId="774">
    <w:name w:val="Heading 2"/>
    <w:basedOn w:val="950"/>
    <w:next w:val="950"/>
    <w:link w:val="7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5">
    <w:name w:val="Heading 2 Char"/>
    <w:link w:val="774"/>
    <w:uiPriority w:val="9"/>
    <w:rPr>
      <w:rFonts w:ascii="Arial" w:hAnsi="Arial" w:eastAsia="Arial" w:cs="Arial"/>
      <w:sz w:val="34"/>
    </w:rPr>
  </w:style>
  <w:style w:type="paragraph" w:styleId="776">
    <w:name w:val="Heading 3"/>
    <w:basedOn w:val="950"/>
    <w:next w:val="950"/>
    <w:link w:val="7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7">
    <w:name w:val="Heading 3 Char"/>
    <w:link w:val="776"/>
    <w:uiPriority w:val="9"/>
    <w:rPr>
      <w:rFonts w:ascii="Arial" w:hAnsi="Arial" w:eastAsia="Arial" w:cs="Arial"/>
      <w:sz w:val="30"/>
      <w:szCs w:val="30"/>
    </w:rPr>
  </w:style>
  <w:style w:type="paragraph" w:styleId="778">
    <w:name w:val="Heading 4"/>
    <w:basedOn w:val="950"/>
    <w:next w:val="950"/>
    <w:link w:val="7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9">
    <w:name w:val="Heading 4 Char"/>
    <w:link w:val="778"/>
    <w:uiPriority w:val="9"/>
    <w:rPr>
      <w:rFonts w:ascii="Arial" w:hAnsi="Arial" w:eastAsia="Arial" w:cs="Arial"/>
      <w:b/>
      <w:bCs/>
      <w:sz w:val="26"/>
      <w:szCs w:val="26"/>
    </w:rPr>
  </w:style>
  <w:style w:type="paragraph" w:styleId="780">
    <w:name w:val="Heading 5"/>
    <w:basedOn w:val="950"/>
    <w:next w:val="950"/>
    <w:link w:val="7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1">
    <w:name w:val="Heading 5 Char"/>
    <w:link w:val="780"/>
    <w:uiPriority w:val="9"/>
    <w:rPr>
      <w:rFonts w:ascii="Arial" w:hAnsi="Arial" w:eastAsia="Arial" w:cs="Arial"/>
      <w:b/>
      <w:bCs/>
      <w:sz w:val="24"/>
      <w:szCs w:val="24"/>
    </w:rPr>
  </w:style>
  <w:style w:type="paragraph" w:styleId="782">
    <w:name w:val="Heading 6"/>
    <w:basedOn w:val="950"/>
    <w:next w:val="950"/>
    <w:link w:val="7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3">
    <w:name w:val="Heading 6 Char"/>
    <w:link w:val="782"/>
    <w:uiPriority w:val="9"/>
    <w:rPr>
      <w:rFonts w:ascii="Arial" w:hAnsi="Arial" w:eastAsia="Arial" w:cs="Arial"/>
      <w:b/>
      <w:bCs/>
      <w:sz w:val="22"/>
      <w:szCs w:val="22"/>
    </w:rPr>
  </w:style>
  <w:style w:type="paragraph" w:styleId="784">
    <w:name w:val="Heading 7"/>
    <w:basedOn w:val="950"/>
    <w:next w:val="950"/>
    <w:link w:val="7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5">
    <w:name w:val="Heading 7 Char"/>
    <w:link w:val="7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6">
    <w:name w:val="Heading 8"/>
    <w:basedOn w:val="950"/>
    <w:next w:val="950"/>
    <w:link w:val="7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7">
    <w:name w:val="Heading 8 Char"/>
    <w:link w:val="786"/>
    <w:uiPriority w:val="9"/>
    <w:rPr>
      <w:rFonts w:ascii="Arial" w:hAnsi="Arial" w:eastAsia="Arial" w:cs="Arial"/>
      <w:i/>
      <w:iCs/>
      <w:sz w:val="22"/>
      <w:szCs w:val="22"/>
    </w:rPr>
  </w:style>
  <w:style w:type="paragraph" w:styleId="788">
    <w:name w:val="Heading 9"/>
    <w:basedOn w:val="950"/>
    <w:next w:val="950"/>
    <w:link w:val="7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9">
    <w:name w:val="Heading 9 Char"/>
    <w:link w:val="788"/>
    <w:uiPriority w:val="9"/>
    <w:rPr>
      <w:rFonts w:ascii="Arial" w:hAnsi="Arial" w:eastAsia="Arial" w:cs="Arial"/>
      <w:i/>
      <w:iCs/>
      <w:sz w:val="21"/>
      <w:szCs w:val="21"/>
    </w:rPr>
  </w:style>
  <w:style w:type="paragraph" w:styleId="790">
    <w:name w:val="List Paragraph"/>
    <w:basedOn w:val="950"/>
    <w:uiPriority w:val="34"/>
    <w:qFormat/>
    <w:pPr>
      <w:contextualSpacing/>
      <w:ind w:left="720"/>
    </w:pPr>
  </w:style>
  <w:style w:type="paragraph" w:styleId="791">
    <w:name w:val="No Spacing"/>
    <w:uiPriority w:val="1"/>
    <w:qFormat/>
    <w:pPr>
      <w:spacing w:before="0" w:after="0" w:line="240" w:lineRule="auto"/>
    </w:pPr>
  </w:style>
  <w:style w:type="paragraph" w:styleId="792">
    <w:name w:val="Title"/>
    <w:basedOn w:val="950"/>
    <w:next w:val="950"/>
    <w:link w:val="7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3">
    <w:name w:val="Title Char"/>
    <w:link w:val="792"/>
    <w:uiPriority w:val="10"/>
    <w:rPr>
      <w:sz w:val="48"/>
      <w:szCs w:val="48"/>
    </w:rPr>
  </w:style>
  <w:style w:type="paragraph" w:styleId="794">
    <w:name w:val="Subtitle"/>
    <w:basedOn w:val="950"/>
    <w:next w:val="950"/>
    <w:link w:val="795"/>
    <w:uiPriority w:val="11"/>
    <w:qFormat/>
    <w:pPr>
      <w:spacing w:before="200" w:after="200"/>
    </w:pPr>
    <w:rPr>
      <w:sz w:val="24"/>
      <w:szCs w:val="24"/>
    </w:rPr>
  </w:style>
  <w:style w:type="character" w:styleId="795">
    <w:name w:val="Subtitle Char"/>
    <w:link w:val="794"/>
    <w:uiPriority w:val="11"/>
    <w:rPr>
      <w:sz w:val="24"/>
      <w:szCs w:val="24"/>
    </w:rPr>
  </w:style>
  <w:style w:type="paragraph" w:styleId="796">
    <w:name w:val="Quote"/>
    <w:basedOn w:val="950"/>
    <w:next w:val="950"/>
    <w:link w:val="797"/>
    <w:uiPriority w:val="29"/>
    <w:qFormat/>
    <w:pPr>
      <w:ind w:left="720" w:right="720"/>
    </w:pPr>
    <w:rPr>
      <w:i/>
    </w:rPr>
  </w:style>
  <w:style w:type="character" w:styleId="797">
    <w:name w:val="Quote Char"/>
    <w:link w:val="796"/>
    <w:uiPriority w:val="29"/>
    <w:rPr>
      <w:i/>
    </w:rPr>
  </w:style>
  <w:style w:type="paragraph" w:styleId="798">
    <w:name w:val="Intense Quote"/>
    <w:basedOn w:val="950"/>
    <w:next w:val="950"/>
    <w:link w:val="7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9">
    <w:name w:val="Intense Quote Char"/>
    <w:link w:val="798"/>
    <w:uiPriority w:val="30"/>
    <w:rPr>
      <w:i/>
    </w:rPr>
  </w:style>
  <w:style w:type="paragraph" w:styleId="800">
    <w:name w:val="Header"/>
    <w:basedOn w:val="950"/>
    <w:link w:val="8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1">
    <w:name w:val="Header Char"/>
    <w:link w:val="800"/>
    <w:uiPriority w:val="99"/>
  </w:style>
  <w:style w:type="paragraph" w:styleId="802">
    <w:name w:val="Footer"/>
    <w:basedOn w:val="950"/>
    <w:link w:val="8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3">
    <w:name w:val="Footer Char"/>
    <w:link w:val="802"/>
    <w:uiPriority w:val="99"/>
  </w:style>
  <w:style w:type="paragraph" w:styleId="804">
    <w:name w:val="Caption"/>
    <w:basedOn w:val="950"/>
    <w:next w:val="9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5">
    <w:name w:val="Caption Char"/>
    <w:basedOn w:val="804"/>
    <w:link w:val="802"/>
    <w:uiPriority w:val="99"/>
  </w:style>
  <w:style w:type="table" w:styleId="8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2">
    <w:name w:val="Hyperlink"/>
    <w:uiPriority w:val="99"/>
    <w:unhideWhenUsed/>
    <w:rPr>
      <w:color w:val="0000ff" w:themeColor="hyperlink"/>
      <w:u w:val="single"/>
    </w:rPr>
  </w:style>
  <w:style w:type="paragraph" w:styleId="933">
    <w:name w:val="footnote text"/>
    <w:basedOn w:val="950"/>
    <w:link w:val="934"/>
    <w:uiPriority w:val="99"/>
    <w:semiHidden/>
    <w:unhideWhenUsed/>
    <w:pPr>
      <w:spacing w:after="40" w:line="240" w:lineRule="auto"/>
    </w:pPr>
    <w:rPr>
      <w:sz w:val="18"/>
    </w:rPr>
  </w:style>
  <w:style w:type="character" w:styleId="934">
    <w:name w:val="Footnote Text Char"/>
    <w:link w:val="933"/>
    <w:uiPriority w:val="99"/>
    <w:rPr>
      <w:sz w:val="18"/>
    </w:rPr>
  </w:style>
  <w:style w:type="character" w:styleId="935">
    <w:name w:val="footnote reference"/>
    <w:uiPriority w:val="99"/>
    <w:unhideWhenUsed/>
    <w:rPr>
      <w:vertAlign w:val="superscript"/>
    </w:rPr>
  </w:style>
  <w:style w:type="paragraph" w:styleId="936">
    <w:name w:val="endnote text"/>
    <w:basedOn w:val="950"/>
    <w:link w:val="937"/>
    <w:uiPriority w:val="99"/>
    <w:semiHidden/>
    <w:unhideWhenUsed/>
    <w:pPr>
      <w:spacing w:after="0" w:line="240" w:lineRule="auto"/>
    </w:pPr>
    <w:rPr>
      <w:sz w:val="20"/>
    </w:rPr>
  </w:style>
  <w:style w:type="character" w:styleId="937">
    <w:name w:val="Endnote Text Char"/>
    <w:link w:val="936"/>
    <w:uiPriority w:val="99"/>
    <w:rPr>
      <w:sz w:val="20"/>
    </w:rPr>
  </w:style>
  <w:style w:type="character" w:styleId="938">
    <w:name w:val="endnote reference"/>
    <w:uiPriority w:val="99"/>
    <w:semiHidden/>
    <w:unhideWhenUsed/>
    <w:rPr>
      <w:vertAlign w:val="superscript"/>
    </w:rPr>
  </w:style>
  <w:style w:type="paragraph" w:styleId="939">
    <w:name w:val="toc 1"/>
    <w:basedOn w:val="950"/>
    <w:next w:val="950"/>
    <w:uiPriority w:val="39"/>
    <w:unhideWhenUsed/>
    <w:pPr>
      <w:ind w:left="0" w:right="0" w:firstLine="0"/>
      <w:spacing w:after="57"/>
    </w:pPr>
  </w:style>
  <w:style w:type="paragraph" w:styleId="940">
    <w:name w:val="toc 2"/>
    <w:basedOn w:val="950"/>
    <w:next w:val="950"/>
    <w:uiPriority w:val="39"/>
    <w:unhideWhenUsed/>
    <w:pPr>
      <w:ind w:left="283" w:right="0" w:firstLine="0"/>
      <w:spacing w:after="57"/>
    </w:pPr>
  </w:style>
  <w:style w:type="paragraph" w:styleId="941">
    <w:name w:val="toc 3"/>
    <w:basedOn w:val="950"/>
    <w:next w:val="950"/>
    <w:uiPriority w:val="39"/>
    <w:unhideWhenUsed/>
    <w:pPr>
      <w:ind w:left="567" w:right="0" w:firstLine="0"/>
      <w:spacing w:after="57"/>
    </w:pPr>
  </w:style>
  <w:style w:type="paragraph" w:styleId="942">
    <w:name w:val="toc 4"/>
    <w:basedOn w:val="950"/>
    <w:next w:val="950"/>
    <w:uiPriority w:val="39"/>
    <w:unhideWhenUsed/>
    <w:pPr>
      <w:ind w:left="850" w:right="0" w:firstLine="0"/>
      <w:spacing w:after="57"/>
    </w:pPr>
  </w:style>
  <w:style w:type="paragraph" w:styleId="943">
    <w:name w:val="toc 5"/>
    <w:basedOn w:val="950"/>
    <w:next w:val="950"/>
    <w:uiPriority w:val="39"/>
    <w:unhideWhenUsed/>
    <w:pPr>
      <w:ind w:left="1134" w:right="0" w:firstLine="0"/>
      <w:spacing w:after="57"/>
    </w:pPr>
  </w:style>
  <w:style w:type="paragraph" w:styleId="944">
    <w:name w:val="toc 6"/>
    <w:basedOn w:val="950"/>
    <w:next w:val="950"/>
    <w:uiPriority w:val="39"/>
    <w:unhideWhenUsed/>
    <w:pPr>
      <w:ind w:left="1417" w:right="0" w:firstLine="0"/>
      <w:spacing w:after="57"/>
    </w:pPr>
  </w:style>
  <w:style w:type="paragraph" w:styleId="945">
    <w:name w:val="toc 7"/>
    <w:basedOn w:val="950"/>
    <w:next w:val="950"/>
    <w:uiPriority w:val="39"/>
    <w:unhideWhenUsed/>
    <w:pPr>
      <w:ind w:left="1701" w:right="0" w:firstLine="0"/>
      <w:spacing w:after="57"/>
    </w:pPr>
  </w:style>
  <w:style w:type="paragraph" w:styleId="946">
    <w:name w:val="toc 8"/>
    <w:basedOn w:val="950"/>
    <w:next w:val="950"/>
    <w:uiPriority w:val="39"/>
    <w:unhideWhenUsed/>
    <w:pPr>
      <w:ind w:left="1984" w:right="0" w:firstLine="0"/>
      <w:spacing w:after="57"/>
    </w:pPr>
  </w:style>
  <w:style w:type="paragraph" w:styleId="947">
    <w:name w:val="toc 9"/>
    <w:basedOn w:val="950"/>
    <w:next w:val="950"/>
    <w:uiPriority w:val="39"/>
    <w:unhideWhenUsed/>
    <w:pPr>
      <w:ind w:left="2268" w:right="0" w:firstLine="0"/>
      <w:spacing w:after="57"/>
    </w:pPr>
  </w:style>
  <w:style w:type="paragraph" w:styleId="948">
    <w:name w:val="TOC Heading"/>
    <w:uiPriority w:val="39"/>
    <w:unhideWhenUsed/>
  </w:style>
  <w:style w:type="paragraph" w:styleId="949">
    <w:name w:val="table of figures"/>
    <w:basedOn w:val="950"/>
    <w:next w:val="950"/>
    <w:uiPriority w:val="99"/>
    <w:unhideWhenUsed/>
    <w:pPr>
      <w:spacing w:after="0" w:afterAutospacing="0"/>
    </w:pPr>
  </w:style>
  <w:style w:type="paragraph" w:styleId="950" w:default="1">
    <w:name w:val="Normal"/>
    <w:next w:val="950"/>
    <w:link w:val="950"/>
    <w:qFormat/>
    <w:rPr>
      <w:sz w:val="24"/>
      <w:szCs w:val="24"/>
      <w:lang w:val="ru-RU" w:eastAsia="ru-RU" w:bidi="ar-SA"/>
    </w:rPr>
  </w:style>
  <w:style w:type="paragraph" w:styleId="951">
    <w:name w:val="Заголовок 1"/>
    <w:basedOn w:val="950"/>
    <w:next w:val="950"/>
    <w:link w:val="950"/>
    <w:qFormat/>
    <w:pPr>
      <w:jc w:val="center"/>
      <w:keepNext/>
      <w:outlineLvl w:val="0"/>
    </w:pPr>
    <w:rPr>
      <w:sz w:val="28"/>
      <w:szCs w:val="28"/>
    </w:rPr>
  </w:style>
  <w:style w:type="paragraph" w:styleId="952">
    <w:name w:val="Заголовок 2"/>
    <w:basedOn w:val="950"/>
    <w:next w:val="950"/>
    <w:link w:val="95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53">
    <w:name w:val="Заголовок 3"/>
    <w:basedOn w:val="950"/>
    <w:next w:val="950"/>
    <w:link w:val="95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954">
    <w:name w:val="Основной шрифт абзаца"/>
    <w:next w:val="954"/>
    <w:link w:val="950"/>
  </w:style>
  <w:style w:type="table" w:styleId="955">
    <w:name w:val="Обычная таблица"/>
    <w:next w:val="955"/>
    <w:link w:val="950"/>
    <w:semiHidden/>
    <w:tblPr/>
  </w:style>
  <w:style w:type="numbering" w:styleId="956">
    <w:name w:val="Нет списка"/>
    <w:next w:val="956"/>
    <w:link w:val="950"/>
    <w:semiHidden/>
  </w:style>
  <w:style w:type="paragraph" w:styleId="957">
    <w:name w:val="Текст выноски"/>
    <w:basedOn w:val="950"/>
    <w:next w:val="957"/>
    <w:link w:val="950"/>
    <w:semiHidden/>
    <w:rPr>
      <w:rFonts w:ascii="Tahoma" w:hAnsi="Tahoma" w:cs="Tahoma"/>
      <w:sz w:val="16"/>
      <w:szCs w:val="16"/>
    </w:rPr>
  </w:style>
  <w:style w:type="paragraph" w:styleId="958">
    <w:name w:val="Верхний колонтитул"/>
    <w:basedOn w:val="950"/>
    <w:next w:val="958"/>
    <w:link w:val="968"/>
    <w:uiPriority w:val="99"/>
    <w:pPr>
      <w:tabs>
        <w:tab w:val="center" w:pos="4677" w:leader="none"/>
        <w:tab w:val="right" w:pos="9355" w:leader="none"/>
      </w:tabs>
    </w:pPr>
  </w:style>
  <w:style w:type="paragraph" w:styleId="959">
    <w:name w:val="Название"/>
    <w:basedOn w:val="950"/>
    <w:next w:val="959"/>
    <w:link w:val="950"/>
    <w:qFormat/>
    <w:pPr>
      <w:jc w:val="center"/>
    </w:pPr>
    <w:rPr>
      <w:b/>
      <w:bCs/>
      <w:sz w:val="28"/>
      <w:szCs w:val="28"/>
    </w:rPr>
  </w:style>
  <w:style w:type="paragraph" w:styleId="960">
    <w:name w:val="Основной текст"/>
    <w:basedOn w:val="950"/>
    <w:next w:val="960"/>
    <w:link w:val="950"/>
    <w:pPr>
      <w:keepLines/>
      <w:keepNext/>
      <w:spacing w:line="240" w:lineRule="atLeast"/>
    </w:pPr>
    <w:rPr>
      <w:color w:val="000000"/>
      <w:sz w:val="22"/>
      <w:szCs w:val="22"/>
    </w:rPr>
  </w:style>
  <w:style w:type="character" w:styleId="961">
    <w:name w:val="Номер страницы"/>
    <w:next w:val="961"/>
    <w:link w:val="950"/>
    <w:rPr>
      <w:rFonts w:cs="Times New Roman"/>
    </w:rPr>
  </w:style>
  <w:style w:type="paragraph" w:styleId="962">
    <w:name w:val="Текст сноски"/>
    <w:basedOn w:val="950"/>
    <w:next w:val="962"/>
    <w:link w:val="950"/>
    <w:rPr>
      <w:sz w:val="20"/>
      <w:szCs w:val="20"/>
    </w:rPr>
  </w:style>
  <w:style w:type="character" w:styleId="963">
    <w:name w:val="Знак сноски"/>
    <w:next w:val="963"/>
    <w:link w:val="950"/>
    <w:uiPriority w:val="99"/>
    <w:unhideWhenUsed/>
    <w:rPr>
      <w:vertAlign w:val="superscript"/>
    </w:rPr>
  </w:style>
  <w:style w:type="paragraph" w:styleId="964">
    <w:name w:val="Нижний колонтитул"/>
    <w:basedOn w:val="950"/>
    <w:next w:val="964"/>
    <w:link w:val="965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65">
    <w:name w:val="Нижний колонтитул Знак"/>
    <w:next w:val="965"/>
    <w:link w:val="964"/>
    <w:uiPriority w:val="99"/>
    <w:rPr>
      <w:sz w:val="24"/>
      <w:szCs w:val="24"/>
    </w:rPr>
  </w:style>
  <w:style w:type="character" w:styleId="966">
    <w:name w:val="Строгий"/>
    <w:next w:val="966"/>
    <w:link w:val="950"/>
    <w:uiPriority w:val="22"/>
    <w:qFormat/>
    <w:rPr>
      <w:b/>
      <w:bCs/>
    </w:rPr>
  </w:style>
  <w:style w:type="table" w:styleId="967">
    <w:name w:val="Сетка таблицы"/>
    <w:basedOn w:val="955"/>
    <w:next w:val="967"/>
    <w:link w:val="950"/>
    <w:tblPr/>
  </w:style>
  <w:style w:type="character" w:styleId="968">
    <w:name w:val="Верхний колонтитул Знак"/>
    <w:next w:val="968"/>
    <w:link w:val="958"/>
    <w:uiPriority w:val="99"/>
    <w:rPr>
      <w:sz w:val="24"/>
      <w:szCs w:val="24"/>
    </w:rPr>
  </w:style>
  <w:style w:type="character" w:styleId="969">
    <w:name w:val="Знак примечания"/>
    <w:next w:val="969"/>
    <w:link w:val="950"/>
    <w:rPr>
      <w:sz w:val="16"/>
      <w:szCs w:val="16"/>
    </w:rPr>
  </w:style>
  <w:style w:type="paragraph" w:styleId="970">
    <w:name w:val="Текст примечания"/>
    <w:basedOn w:val="950"/>
    <w:next w:val="970"/>
    <w:link w:val="971"/>
    <w:rPr>
      <w:sz w:val="20"/>
      <w:szCs w:val="20"/>
    </w:rPr>
  </w:style>
  <w:style w:type="character" w:styleId="971">
    <w:name w:val="Текст примечания Знак"/>
    <w:basedOn w:val="954"/>
    <w:next w:val="971"/>
    <w:link w:val="970"/>
  </w:style>
  <w:style w:type="paragraph" w:styleId="972">
    <w:name w:val="Тема примечания"/>
    <w:basedOn w:val="970"/>
    <w:next w:val="970"/>
    <w:link w:val="973"/>
    <w:rPr>
      <w:b/>
      <w:bCs/>
    </w:rPr>
  </w:style>
  <w:style w:type="character" w:styleId="973">
    <w:name w:val="Тема примечания Знак"/>
    <w:next w:val="973"/>
    <w:link w:val="972"/>
    <w:rPr>
      <w:b/>
      <w:bCs/>
    </w:rPr>
  </w:style>
  <w:style w:type="paragraph" w:styleId="974">
    <w:name w:val="Абзац списка"/>
    <w:basedOn w:val="950"/>
    <w:next w:val="974"/>
    <w:link w:val="950"/>
    <w:uiPriority w:val="99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character" w:styleId="975">
    <w:name w:val="Гиперссылка"/>
    <w:next w:val="975"/>
    <w:link w:val="950"/>
    <w:rPr>
      <w:color w:val="0563c1"/>
      <w:u w:val="single"/>
    </w:rPr>
  </w:style>
  <w:style w:type="character" w:styleId="976" w:default="1">
    <w:name w:val="Default Paragraph Font"/>
    <w:uiPriority w:val="1"/>
    <w:semiHidden/>
    <w:unhideWhenUsed/>
  </w:style>
  <w:style w:type="numbering" w:styleId="977" w:default="1">
    <w:name w:val="No List"/>
    <w:uiPriority w:val="99"/>
    <w:semiHidden/>
    <w:unhideWhenUsed/>
  </w:style>
  <w:style w:type="table" w:styleId="97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RSHB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Kuzina</dc:creator>
  <cp:revision>11</cp:revision>
  <dcterms:created xsi:type="dcterms:W3CDTF">2024-03-21T06:05:00Z</dcterms:created>
  <dcterms:modified xsi:type="dcterms:W3CDTF">2025-04-21T14:53:15Z</dcterms:modified>
  <cp:version>1048576</cp:version>
</cp:coreProperties>
</file>