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w:t>
                  </w:r>
                  <w:proofErr w:type="spellStart"/>
                  <w:r>
                    <w:t>ов</w:t>
                  </w:r>
                  <w:proofErr w:type="spellEnd"/>
                  <w:r>
                    <w:t>):</w:t>
                  </w:r>
                </w:p>
              </w:tc>
              <w:tc>
                <w:tcPr>
                  <w:tcW w:w="4920" w:type="dxa"/>
                </w:tcPr>
                <w:p w:rsidR="00F271DB" w:rsidRDefault="00F271DB" w:rsidP="003B235F">
                  <w:r w:rsidRPr="00F271DB">
                    <w:t>2.1.10.00.05 Управление тарифами РКО ЮЛ, Субъектов Российской Федерации, муниципальных образований и ИП</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2659AB">
            <w:pPr>
              <w:jc w:val="center"/>
              <w:rPr>
                <w:sz w:val="36"/>
                <w:szCs w:val="36"/>
              </w:rPr>
            </w:pPr>
            <w:r w:rsidRPr="00F30FCB">
              <w:rPr>
                <w:sz w:val="36"/>
                <w:szCs w:val="36"/>
              </w:rPr>
              <w:t xml:space="preserve">действуют с </w:t>
            </w:r>
            <w:r w:rsidR="006A55C1">
              <w:rPr>
                <w:sz w:val="36"/>
                <w:szCs w:val="36"/>
                <w:lang w:val="en-US"/>
              </w:rPr>
              <w:t xml:space="preserve"> </w:t>
            </w:r>
            <w:r w:rsidR="002659AB">
              <w:rPr>
                <w:sz w:val="36"/>
                <w:szCs w:val="36"/>
              </w:rPr>
              <w:t>18</w:t>
            </w:r>
            <w:r w:rsidR="005E5B29">
              <w:rPr>
                <w:sz w:val="36"/>
                <w:szCs w:val="36"/>
              </w:rPr>
              <w:t>.</w:t>
            </w:r>
            <w:r w:rsidR="005A0923">
              <w:rPr>
                <w:sz w:val="36"/>
                <w:szCs w:val="36"/>
              </w:rPr>
              <w:t>0</w:t>
            </w:r>
            <w:r w:rsidR="003659D6">
              <w:rPr>
                <w:sz w:val="36"/>
                <w:szCs w:val="36"/>
              </w:rPr>
              <w:t>4</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4A4F32">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4A4F32">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4A4F32">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4A4F32">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4A4F32">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4A4F32">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4A4F32"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23BB8">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w:t>
            </w:r>
            <w:proofErr w:type="spellStart"/>
            <w:r w:rsidRPr="00D12556">
              <w:rPr>
                <w:sz w:val="22"/>
                <w:szCs w:val="22"/>
              </w:rPr>
              <w:t>ческими</w:t>
            </w:r>
            <w:proofErr w:type="spellEnd"/>
            <w:r w:rsidRPr="00D12556">
              <w:rPr>
                <w:sz w:val="22"/>
                <w:szCs w:val="22"/>
              </w:rPr>
              <w:t xml:space="preserve">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w:t>
            </w:r>
            <w:proofErr w:type="spellStart"/>
            <w:r w:rsidRPr="00D12556">
              <w:rPr>
                <w:sz w:val="22"/>
                <w:szCs w:val="22"/>
              </w:rPr>
              <w:t>ными</w:t>
            </w:r>
            <w:proofErr w:type="spellEnd"/>
            <w:r w:rsidRPr="00D12556">
              <w:rPr>
                <w:sz w:val="22"/>
                <w:szCs w:val="22"/>
              </w:rPr>
              <w:t xml:space="preserve">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lastRenderedPageBreak/>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CF2C06">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CF2C06">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w:t>
            </w:r>
            <w:r w:rsidRPr="00B4680D">
              <w:rPr>
                <w:sz w:val="20"/>
                <w:szCs w:val="20"/>
                <w:lang w:eastAsia="ru-RU"/>
              </w:rPr>
              <w:lastRenderedPageBreak/>
              <w:t xml:space="preserve">полностью платежным поручением взимается комиссионное </w:t>
            </w:r>
            <w:proofErr w:type="gramStart"/>
            <w:r w:rsidRPr="00B4680D">
              <w:rPr>
                <w:sz w:val="20"/>
                <w:szCs w:val="20"/>
                <w:lang w:eastAsia="ru-RU"/>
              </w:rPr>
              <w:t>вознаграждение</w:t>
            </w:r>
            <w:proofErr w:type="gramEnd"/>
            <w:r w:rsidRPr="00B4680D">
              <w:rPr>
                <w:sz w:val="20"/>
                <w:szCs w:val="20"/>
                <w:lang w:eastAsia="ru-RU"/>
              </w:rPr>
              <w:t xml:space="preserve">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6E3916" w:rsidRPr="006512CB" w:rsidRDefault="006E3916" w:rsidP="006E3916">
            <w:pPr>
              <w:rPr>
                <w:sz w:val="20"/>
                <w:szCs w:val="20"/>
              </w:rPr>
            </w:pPr>
            <w:r w:rsidRPr="006512CB">
              <w:rPr>
                <w:sz w:val="20"/>
                <w:szCs w:val="20"/>
              </w:rPr>
              <w:t>Комиссия за перевод денежных средств в случаях:</w:t>
            </w:r>
          </w:p>
          <w:p w:rsidR="006E3916" w:rsidRPr="006512CB" w:rsidRDefault="006E3916" w:rsidP="006E3916">
            <w:pPr>
              <w:tabs>
                <w:tab w:val="left" w:pos="1134"/>
              </w:tabs>
              <w:rPr>
                <w:sz w:val="20"/>
                <w:szCs w:val="20"/>
              </w:rPr>
            </w:pPr>
            <w:r w:rsidRPr="006512CB">
              <w:rPr>
                <w:sz w:val="20"/>
                <w:szCs w:val="20"/>
              </w:rPr>
              <w:t xml:space="preserve">- </w:t>
            </w:r>
            <w:r w:rsidRPr="006512CB">
              <w:rPr>
                <w:sz w:val="20"/>
                <w:szCs w:val="20"/>
                <w:lang w:eastAsia="x-none"/>
              </w:rPr>
              <w:t>не указанных в п. 1.1.5.3 Тарифов;</w:t>
            </w:r>
          </w:p>
          <w:p w:rsidR="006E3916" w:rsidRPr="006512CB" w:rsidRDefault="006E3916" w:rsidP="006E3916">
            <w:pPr>
              <w:tabs>
                <w:tab w:val="left" w:pos="1134"/>
              </w:tabs>
              <w:rPr>
                <w:sz w:val="20"/>
                <w:szCs w:val="20"/>
              </w:rPr>
            </w:pPr>
            <w:r w:rsidRPr="006512CB">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1E414A" w:rsidRPr="00B4680D" w:rsidRDefault="006E3916" w:rsidP="006E3916">
            <w:pPr>
              <w:rPr>
                <w:sz w:val="20"/>
                <w:szCs w:val="20"/>
                <w:lang w:eastAsia="ru-RU"/>
              </w:rPr>
            </w:pPr>
            <w:r w:rsidRPr="006512CB">
              <w:rPr>
                <w:sz w:val="20"/>
                <w:szCs w:val="20"/>
              </w:rPr>
              <w:t>взимается в соответствии с п.1.1.5.1 или п.1.1.5.2 Тарифов.</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 xml:space="preserve">если сумма платежа до 100 </w:t>
            </w:r>
            <w:proofErr w:type="spellStart"/>
            <w:r w:rsidRPr="00DF7601">
              <w:rPr>
                <w:sz w:val="22"/>
                <w:szCs w:val="22"/>
                <w:lang w:eastAsia="ru-RU"/>
              </w:rPr>
              <w:t>млн.руб</w:t>
            </w:r>
            <w:proofErr w:type="spellEnd"/>
            <w:r w:rsidRPr="00DF7601">
              <w:rPr>
                <w:sz w:val="22"/>
                <w:szCs w:val="22"/>
                <w:lang w:eastAsia="ru-RU"/>
              </w:rPr>
              <w:t>.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 xml:space="preserve">умма платежа свыше 100 </w:t>
            </w:r>
            <w:proofErr w:type="spellStart"/>
            <w:r>
              <w:rPr>
                <w:sz w:val="22"/>
                <w:szCs w:val="22"/>
                <w:lang w:eastAsia="ru-RU"/>
              </w:rPr>
              <w:t>млн.руб</w:t>
            </w:r>
            <w:proofErr w:type="spellEnd"/>
            <w:r>
              <w:rPr>
                <w:sz w:val="22"/>
                <w:szCs w:val="22"/>
                <w:lang w:eastAsia="ru-RU"/>
              </w:rPr>
              <w:t>.</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tcBorders>
              <w:left w:val="single" w:sz="4" w:space="0" w:color="auto"/>
              <w:right w:val="single" w:sz="4" w:space="0" w:color="auto"/>
            </w:tcBorders>
          </w:tcPr>
          <w:p w:rsidR="001E414A" w:rsidRPr="006257E4" w:rsidRDefault="001E414A" w:rsidP="00B4680D">
            <w:pPr>
              <w:jc w:val="center"/>
              <w:rPr>
                <w:sz w:val="22"/>
                <w:szCs w:val="22"/>
                <w:lang w:eastAsia="ru-RU"/>
              </w:rPr>
            </w:pPr>
            <w:r>
              <w:rPr>
                <w:sz w:val="22"/>
                <w:szCs w:val="22"/>
                <w:lang w:eastAsia="ru-RU"/>
              </w:rPr>
              <w:lastRenderedPageBreak/>
              <w:t>1.1.5.3.</w:t>
            </w:r>
          </w:p>
        </w:tc>
        <w:tc>
          <w:tcPr>
            <w:tcW w:w="3969" w:type="dxa"/>
            <w:tcBorders>
              <w:top w:val="single" w:sz="4" w:space="0" w:color="auto"/>
              <w:left w:val="single" w:sz="4" w:space="0" w:color="auto"/>
              <w:right w:val="single" w:sz="4" w:space="0" w:color="auto"/>
            </w:tcBorders>
          </w:tcPr>
          <w:p w:rsidR="001E414A" w:rsidRPr="00D12556" w:rsidRDefault="001E414A" w:rsidP="00B4680D">
            <w:pPr>
              <w:spacing w:after="40"/>
              <w:ind w:left="34"/>
              <w:rPr>
                <w:sz w:val="22"/>
                <w:szCs w:val="22"/>
              </w:rPr>
            </w:pPr>
            <w:r w:rsidRPr="00D12556">
              <w:rPr>
                <w:sz w:val="22"/>
                <w:szCs w:val="22"/>
              </w:rPr>
              <w:t>При закрытии счета клиента:</w:t>
            </w:r>
          </w:p>
          <w:p w:rsidR="001E414A" w:rsidRPr="00D12556" w:rsidRDefault="001E414A" w:rsidP="00B4680D">
            <w:pPr>
              <w:spacing w:after="40"/>
              <w:ind w:left="34"/>
              <w:rPr>
                <w:sz w:val="22"/>
                <w:szCs w:val="22"/>
              </w:rPr>
            </w:pPr>
            <w:r w:rsidRPr="00D12556">
              <w:rPr>
                <w:sz w:val="22"/>
                <w:szCs w:val="22"/>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1E414A" w:rsidRPr="00D12556" w:rsidRDefault="001E414A" w:rsidP="00B4680D">
            <w:pPr>
              <w:tabs>
                <w:tab w:val="left" w:pos="317"/>
              </w:tabs>
              <w:ind w:left="34"/>
              <w:rPr>
                <w:sz w:val="22"/>
                <w:szCs w:val="22"/>
                <w:lang w:eastAsia="ru-RU"/>
              </w:rPr>
            </w:pPr>
            <w:r w:rsidRPr="00D12556">
              <w:rPr>
                <w:sz w:val="22"/>
                <w:szCs w:val="22"/>
              </w:rPr>
              <w:t>-отправленный в пользу третьих лиц при закрытии счета по заявлению клиента</w:t>
            </w:r>
          </w:p>
        </w:tc>
        <w:tc>
          <w:tcPr>
            <w:tcW w:w="2296" w:type="dxa"/>
            <w:tcBorders>
              <w:top w:val="single" w:sz="4" w:space="0" w:color="auto"/>
              <w:left w:val="single" w:sz="4" w:space="0" w:color="auto"/>
              <w:right w:val="single" w:sz="4" w:space="0" w:color="auto"/>
            </w:tcBorders>
          </w:tcPr>
          <w:p w:rsidR="001E414A" w:rsidRPr="00D12556" w:rsidRDefault="001E414A" w:rsidP="00B4680D">
            <w:pPr>
              <w:spacing w:after="40"/>
              <w:jc w:val="center"/>
              <w:rPr>
                <w:sz w:val="22"/>
                <w:szCs w:val="22"/>
              </w:rPr>
            </w:pPr>
          </w:p>
          <w:p w:rsidR="001E414A" w:rsidRPr="00D12556" w:rsidRDefault="001E414A" w:rsidP="00B4680D">
            <w:pPr>
              <w:spacing w:after="40"/>
              <w:jc w:val="center"/>
              <w:rPr>
                <w:sz w:val="22"/>
                <w:szCs w:val="22"/>
              </w:rPr>
            </w:pPr>
            <w:r w:rsidRPr="00D12556">
              <w:rPr>
                <w:sz w:val="22"/>
                <w:szCs w:val="22"/>
              </w:rPr>
              <w:t>10% от суммы остатка средств на счете</w:t>
            </w:r>
          </w:p>
          <w:p w:rsidR="001E414A" w:rsidRPr="00D12556" w:rsidRDefault="001E414A" w:rsidP="00B4680D">
            <w:pPr>
              <w:spacing w:after="40"/>
              <w:jc w:val="center"/>
              <w:rPr>
                <w:sz w:val="22"/>
                <w:szCs w:val="22"/>
              </w:rPr>
            </w:pPr>
          </w:p>
          <w:p w:rsidR="001E414A" w:rsidRDefault="001E414A" w:rsidP="00B4680D">
            <w:pPr>
              <w:rPr>
                <w:sz w:val="22"/>
                <w:szCs w:val="22"/>
              </w:rPr>
            </w:pPr>
          </w:p>
          <w:p w:rsidR="00D12556" w:rsidRPr="00D12556" w:rsidRDefault="00D12556" w:rsidP="00B4680D">
            <w:pPr>
              <w:rPr>
                <w:sz w:val="22"/>
                <w:szCs w:val="22"/>
              </w:rPr>
            </w:pPr>
          </w:p>
          <w:p w:rsidR="001E414A" w:rsidRPr="00D12556" w:rsidRDefault="001E414A" w:rsidP="00B4680D">
            <w:pPr>
              <w:rPr>
                <w:sz w:val="22"/>
                <w:szCs w:val="22"/>
              </w:rPr>
            </w:pPr>
          </w:p>
          <w:p w:rsidR="001E414A" w:rsidRPr="00D12556" w:rsidRDefault="001E414A" w:rsidP="00B4680D">
            <w:pPr>
              <w:jc w:val="center"/>
              <w:rPr>
                <w:sz w:val="22"/>
                <w:szCs w:val="22"/>
                <w:lang w:eastAsia="ru-RU"/>
              </w:rPr>
            </w:pPr>
            <w:r w:rsidRPr="00D12556">
              <w:rPr>
                <w:sz w:val="22"/>
                <w:szCs w:val="22"/>
              </w:rPr>
              <w:t>10% от суммы остатка средств на счете»</w:t>
            </w:r>
          </w:p>
        </w:tc>
        <w:tc>
          <w:tcPr>
            <w:tcW w:w="2807" w:type="dxa"/>
            <w:vMerge/>
            <w:tcBorders>
              <w:left w:val="single" w:sz="4" w:space="0" w:color="auto"/>
              <w:right w:val="single" w:sz="4" w:space="0" w:color="auto"/>
            </w:tcBorders>
          </w:tcPr>
          <w:p w:rsidR="001E414A" w:rsidRPr="006257E4" w:rsidRDefault="001E414A" w:rsidP="00B4680D">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 xml:space="preserve">Осуществляется при условии </w:t>
            </w:r>
            <w:proofErr w:type="gramStart"/>
            <w:r w:rsidRPr="004C02E2">
              <w:rPr>
                <w:sz w:val="20"/>
                <w:szCs w:val="20"/>
                <w:lang w:eastAsia="ru-RU"/>
              </w:rPr>
              <w:t>заключения  дополнительного</w:t>
            </w:r>
            <w:proofErr w:type="gramEnd"/>
            <w:r w:rsidRPr="004C02E2">
              <w:rPr>
                <w:sz w:val="20"/>
                <w:szCs w:val="20"/>
                <w:lang w:eastAsia="ru-RU"/>
              </w:rPr>
              <w:t xml:space="preserve">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w:t>
            </w:r>
            <w:r w:rsidRPr="004C02E2">
              <w:rPr>
                <w:sz w:val="20"/>
                <w:szCs w:val="20"/>
                <w:lang w:eastAsia="ru-RU"/>
              </w:rPr>
              <w:lastRenderedPageBreak/>
              <w:t>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C02E2">
              <w:rPr>
                <w:sz w:val="20"/>
                <w:szCs w:val="20"/>
                <w:lang w:eastAsia="ru-RU"/>
              </w:rPr>
              <w:t>т.ч</w:t>
            </w:r>
            <w:proofErr w:type="spellEnd"/>
            <w:r w:rsidRPr="004C02E2">
              <w:rPr>
                <w:sz w:val="20"/>
                <w:szCs w:val="20"/>
                <w:lang w:eastAsia="ru-RU"/>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lastRenderedPageBreak/>
              <w:t>до 300 000,00 руб. (включительно);</w:t>
            </w:r>
            <w:r w:rsidRPr="0085570A">
              <w:br/>
            </w:r>
            <w:r w:rsidRPr="0085570A">
              <w:br/>
              <w:t xml:space="preserve">1,5%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 xml:space="preserve">3%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lastRenderedPageBreak/>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xml:space="preserve">- на счета кредитных организаций с балансовой позицией 30102, 30109, 30111, 30232, 30301, 30302, </w:t>
            </w:r>
            <w:r w:rsidRPr="00F1272A">
              <w:rPr>
                <w:sz w:val="22"/>
                <w:szCs w:val="22"/>
              </w:rPr>
              <w:lastRenderedPageBreak/>
              <w:t>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 xml:space="preserve">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w:t>
            </w:r>
            <w:r w:rsidRPr="00F1272A">
              <w:rPr>
                <w:sz w:val="22"/>
                <w:szCs w:val="22"/>
              </w:rPr>
              <w:lastRenderedPageBreak/>
              <w:t>(выплата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lastRenderedPageBreak/>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F80450" w:rsidRPr="00F80450"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right w:val="single" w:sz="4" w:space="0" w:color="auto"/>
            </w:tcBorders>
            <w:vAlign w:val="center"/>
          </w:tcPr>
          <w:p w:rsidR="00E06D6F" w:rsidRPr="006257E4"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vAlign w:val="center"/>
          </w:tcPr>
          <w:p w:rsidR="00E06D6F" w:rsidRPr="006257E4"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sidRPr="00CD19A2">
              <w:rPr>
                <w:sz w:val="22"/>
                <w:szCs w:val="22"/>
              </w:rPr>
              <w:t>50 руб. за один расчетный документ»</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4F7A9C">
              <w:rPr>
                <w:sz w:val="20"/>
                <w:szCs w:val="20"/>
                <w:lang w:eastAsia="ru-RU"/>
              </w:rPr>
              <w:t>заключаемом  к</w:t>
            </w:r>
            <w:proofErr w:type="gramEnd"/>
            <w:r w:rsidRPr="004F7A9C">
              <w:rPr>
                <w:sz w:val="20"/>
                <w:szCs w:val="20"/>
                <w:lang w:eastAsia="ru-RU"/>
              </w:rPr>
              <w:t xml:space="preserve">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Pr="004F7A9C" w:rsidRDefault="00E06D6F" w:rsidP="00E06D6F">
            <w:pPr>
              <w:rPr>
                <w:sz w:val="20"/>
                <w:szCs w:val="20"/>
                <w:lang w:eastAsia="ru-RU"/>
              </w:rPr>
            </w:pPr>
            <w:r w:rsidRPr="004F7A9C">
              <w:rPr>
                <w:sz w:val="20"/>
                <w:szCs w:val="20"/>
                <w:lang w:eastAsia="ru-RU"/>
              </w:rPr>
              <w:t xml:space="preserve">При совершении перевода денежных средств дополнительно к указанному тарифу взимается </w:t>
            </w:r>
            <w:r w:rsidRPr="004F7A9C">
              <w:rPr>
                <w:sz w:val="20"/>
                <w:szCs w:val="20"/>
                <w:lang w:eastAsia="ru-RU"/>
              </w:rPr>
              <w:lastRenderedPageBreak/>
              <w:t>комиссионное вознаграждение, указанное в пунктах 1.1.5 или 1.1.7 Тарифов</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Pr="004F7A9C">
              <w:rPr>
                <w:b/>
                <w:bCs/>
                <w:sz w:val="20"/>
                <w:szCs w:val="20"/>
                <w:lang w:eastAsia="ru-RU"/>
              </w:rPr>
              <w:t xml:space="preserve">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lastRenderedPageBreak/>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1.2.3.1</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E06D6F"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с расчетного счета в евро.</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Комиссия взимается независимо от наличия/отсутствия операций в течение календарного месяца</w:t>
            </w:r>
            <w:r w:rsidRPr="00DB2D0C">
              <w:rPr>
                <w:sz w:val="20"/>
                <w:szCs w:val="20"/>
              </w:rPr>
              <w:t>.</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не взимается если совокупный среднемесячный остаток равен нулю.</w:t>
            </w:r>
          </w:p>
          <w:p w:rsidR="00E06D6F" w:rsidRPr="00DB2D0C" w:rsidRDefault="00E06D6F" w:rsidP="00E06D6F">
            <w:pPr>
              <w:tabs>
                <w:tab w:val="left" w:pos="708"/>
                <w:tab w:val="center" w:pos="4677"/>
                <w:tab w:val="right" w:pos="9355"/>
              </w:tabs>
              <w:jc w:val="both"/>
              <w:rPr>
                <w:sz w:val="20"/>
                <w:szCs w:val="20"/>
              </w:rPr>
            </w:pPr>
            <w:r w:rsidRPr="00DB2D0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lastRenderedPageBreak/>
              <w:t>При расчете совокупного среднемесячного остатка учитываются остатки на расчетном счете в евро и соответствующем ему транзитном счете.</w:t>
            </w:r>
          </w:p>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w:t>
            </w:r>
            <w:r w:rsidR="00FF4716">
              <w:rPr>
                <w:sz w:val="20"/>
                <w:szCs w:val="20"/>
                <w:lang w:eastAsia="x-none"/>
              </w:rPr>
              <w:t>есяца). Расчетным месяцем счита</w:t>
            </w:r>
            <w:r>
              <w:rPr>
                <w:sz w:val="20"/>
                <w:szCs w:val="20"/>
                <w:lang w:eastAsia="x-none"/>
              </w:rPr>
              <w:t>е</w:t>
            </w:r>
            <w:r w:rsidRPr="00DB2D0C">
              <w:rPr>
                <w:sz w:val="20"/>
                <w:szCs w:val="20"/>
                <w:lang w:eastAsia="x-none"/>
              </w:rPr>
              <w:t>тся календарный месяц, в течение которого осуществлялось хранение (размещение) остатков денежных ср</w:t>
            </w:r>
            <w:r>
              <w:rPr>
                <w:sz w:val="20"/>
                <w:szCs w:val="20"/>
                <w:lang w:eastAsia="x-none"/>
              </w:rPr>
              <w:t xml:space="preserve">едств на счете(ах) и за который </w:t>
            </w:r>
            <w:r w:rsidRPr="00DB2D0C">
              <w:rPr>
                <w:sz w:val="20"/>
                <w:szCs w:val="20"/>
                <w:lang w:eastAsia="x-none"/>
              </w:rPr>
              <w:t>производится рас</w:t>
            </w:r>
            <w:r>
              <w:rPr>
                <w:sz w:val="20"/>
                <w:szCs w:val="20"/>
                <w:lang w:eastAsia="x-none"/>
              </w:rPr>
              <w:t>-</w:t>
            </w:r>
            <w:r w:rsidRPr="00DB2D0C">
              <w:rPr>
                <w:sz w:val="20"/>
                <w:szCs w:val="20"/>
                <w:lang w:eastAsia="x-none"/>
              </w:rPr>
              <w:t>чет совокупного среднемесячного остатка</w:t>
            </w:r>
            <w:r>
              <w:rPr>
                <w:sz w:val="20"/>
                <w:szCs w:val="20"/>
                <w:lang w:eastAsia="x-none"/>
              </w:rPr>
              <w:t>.</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Кроме месяца, в котором установлена система дистанционного банковского обслуживания.</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 xml:space="preserve">0,1%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lastRenderedPageBreak/>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b/>
                <w:i/>
                <w:sz w:val="22"/>
                <w:szCs w:val="22"/>
                <w:lang w:eastAsia="ru-RU"/>
              </w:rPr>
            </w:pPr>
            <w:r w:rsidRPr="00CD19A2">
              <w:rPr>
                <w:sz w:val="22"/>
                <w:szCs w:val="22"/>
                <w:lang w:eastAsia="ru-RU"/>
              </w:rPr>
              <w:t>35 долл. США за каждый перевод</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b/>
                <w:i/>
                <w:sz w:val="22"/>
                <w:szCs w:val="22"/>
                <w:lang w:eastAsia="ru-RU"/>
              </w:rPr>
            </w:pPr>
            <w:r w:rsidRPr="00CD19A2">
              <w:rPr>
                <w:sz w:val="22"/>
                <w:szCs w:val="22"/>
                <w:lang w:eastAsia="ru-RU"/>
              </w:rPr>
              <w:t>50 долл. США за каждый перевод</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b/>
                <w:i/>
                <w:sz w:val="20"/>
                <w:szCs w:val="20"/>
                <w:lang w:eastAsia="ru-RU"/>
              </w:rPr>
            </w:pPr>
            <w:r w:rsidRPr="00455D43">
              <w:rPr>
                <w:sz w:val="20"/>
                <w:szCs w:val="20"/>
                <w:lang w:eastAsia="ru-RU"/>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rPr>
          <w:trHeight w:val="1771"/>
        </w:trPr>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1.3.8.</w:t>
            </w:r>
          </w:p>
        </w:tc>
        <w:tc>
          <w:tcPr>
            <w:tcW w:w="3969" w:type="dxa"/>
            <w:tcBorders>
              <w:top w:val="single" w:sz="4" w:space="0" w:color="auto"/>
              <w:left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E06D6F" w:rsidRDefault="00E06D6F" w:rsidP="00E06D6F">
            <w:pPr>
              <w:rPr>
                <w:sz w:val="22"/>
                <w:szCs w:val="22"/>
                <w:lang w:eastAsia="ru-RU"/>
              </w:rPr>
            </w:pPr>
          </w:p>
          <w:p w:rsidR="00E06D6F" w:rsidRPr="00CD19A2" w:rsidRDefault="00E06D6F"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300 руб. за документ</w:t>
            </w:r>
          </w:p>
        </w:tc>
        <w:tc>
          <w:tcPr>
            <w:tcW w:w="2807" w:type="dxa"/>
            <w:tcBorders>
              <w:top w:val="single" w:sz="4" w:space="0" w:color="auto"/>
              <w:left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руб.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1.3.9.</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E06D6F" w:rsidRPr="00CD19A2" w:rsidRDefault="00E06D6F" w:rsidP="00E06D6F">
            <w:pPr>
              <w:jc w:val="center"/>
              <w:rPr>
                <w:sz w:val="22"/>
                <w:szCs w:val="22"/>
                <w:lang w:eastAsia="ru-RU"/>
              </w:rPr>
            </w:pPr>
          </w:p>
          <w:p w:rsidR="00E06D6F" w:rsidRPr="00CD19A2" w:rsidRDefault="00E06D6F" w:rsidP="00E06D6F">
            <w:pPr>
              <w:jc w:val="center"/>
              <w:rPr>
                <w:sz w:val="22"/>
                <w:szCs w:val="22"/>
                <w:lang w:eastAsia="ru-RU"/>
              </w:rPr>
            </w:pPr>
          </w:p>
          <w:p w:rsidR="00E06D6F" w:rsidRPr="00CD19A2" w:rsidRDefault="00E06D6F" w:rsidP="00E06D6F">
            <w:pPr>
              <w:jc w:val="center"/>
              <w:rPr>
                <w:sz w:val="22"/>
                <w:szCs w:val="22"/>
                <w:lang w:eastAsia="ru-RU"/>
              </w:rPr>
            </w:pP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E06D6F" w:rsidRPr="00455D43" w:rsidRDefault="00E06D6F" w:rsidP="00E06D6F">
            <w:pPr>
              <w:rPr>
                <w:sz w:val="20"/>
                <w:szCs w:val="20"/>
                <w:lang w:eastAsia="ru-RU"/>
              </w:rPr>
            </w:pPr>
          </w:p>
          <w:p w:rsidR="00E06D6F" w:rsidRPr="00455D43" w:rsidRDefault="00E06D6F" w:rsidP="00E06D6F">
            <w:pPr>
              <w:rPr>
                <w:sz w:val="20"/>
                <w:szCs w:val="20"/>
                <w:lang w:eastAsia="ru-RU"/>
              </w:rPr>
            </w:pPr>
          </w:p>
          <w:p w:rsidR="00E06D6F" w:rsidRPr="00455D43" w:rsidRDefault="00E06D6F" w:rsidP="00E06D6F">
            <w:pPr>
              <w:rPr>
                <w:sz w:val="20"/>
                <w:szCs w:val="20"/>
                <w:lang w:eastAsia="ru-RU"/>
              </w:rPr>
            </w:pPr>
          </w:p>
          <w:p w:rsidR="00E06D6F" w:rsidRPr="00455D43" w:rsidRDefault="00E06D6F" w:rsidP="00E06D6F">
            <w:pPr>
              <w:rPr>
                <w:sz w:val="20"/>
                <w:szCs w:val="20"/>
                <w:lang w:eastAsia="ru-RU"/>
              </w:rPr>
            </w:pPr>
          </w:p>
          <w:p w:rsidR="00E06D6F" w:rsidRPr="00455D43" w:rsidRDefault="00E06D6F" w:rsidP="00E06D6F">
            <w:pPr>
              <w:rPr>
                <w:sz w:val="20"/>
                <w:szCs w:val="20"/>
                <w:lang w:eastAsia="ru-RU"/>
              </w:rPr>
            </w:pP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proofErr w:type="gramStart"/>
            <w:r w:rsidRPr="00CD19A2">
              <w:rPr>
                <w:sz w:val="22"/>
                <w:szCs w:val="22"/>
                <w:lang w:eastAsia="ru-RU"/>
              </w:rPr>
              <w:t xml:space="preserve">   «</w:t>
            </w:r>
            <w:proofErr w:type="gramEnd"/>
            <w:r w:rsidRPr="00CD19A2">
              <w:rPr>
                <w:sz w:val="22"/>
                <w:szCs w:val="22"/>
                <w:lang w:eastAsia="ru-RU"/>
              </w:rPr>
              <w:t>О Фонде содействия реформированию жилищно-коммунального хозяйства» в рамках заключенных договоров специального банковского счета</w:t>
            </w:r>
          </w:p>
          <w:p w:rsidR="00E06D6F" w:rsidRPr="00455D43" w:rsidRDefault="00E06D6F"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bCs/>
                <w:sz w:val="20"/>
                <w:szCs w:val="20"/>
                <w:lang w:eastAsia="ru-RU"/>
              </w:rPr>
            </w:pPr>
            <w:r w:rsidRPr="00455D43">
              <w:rPr>
                <w:sz w:val="20"/>
                <w:szCs w:val="20"/>
                <w:lang w:eastAsia="ru-RU"/>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bCs/>
                <w:sz w:val="20"/>
                <w:szCs w:val="20"/>
                <w:lang w:eastAsia="ru-RU"/>
              </w:rPr>
            </w:pPr>
            <w:r w:rsidRPr="00455D43">
              <w:rPr>
                <w:sz w:val="20"/>
                <w:szCs w:val="20"/>
                <w:lang w:eastAsia="ru-RU"/>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 xml:space="preserve">за один лист с односторонним </w:t>
            </w:r>
            <w:r w:rsidRPr="00CD19A2">
              <w:rPr>
                <w:sz w:val="22"/>
                <w:szCs w:val="22"/>
                <w:lang w:eastAsia="ru-RU"/>
              </w:rPr>
              <w:lastRenderedPageBreak/>
              <w:t>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bCs/>
                <w:sz w:val="20"/>
                <w:szCs w:val="20"/>
                <w:lang w:eastAsia="ru-RU"/>
              </w:rPr>
            </w:pPr>
            <w:r w:rsidRPr="00455D43">
              <w:rPr>
                <w:sz w:val="20"/>
                <w:szCs w:val="20"/>
                <w:lang w:eastAsia="ru-RU"/>
              </w:rPr>
              <w:lastRenderedPageBreak/>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r>
            <w:proofErr w:type="spellStart"/>
            <w:r w:rsidRPr="0017386A">
              <w:rPr>
                <w:sz w:val="20"/>
                <w:szCs w:val="20"/>
                <w:lang w:eastAsia="x-none"/>
              </w:rPr>
              <w:t>пп</w:t>
            </w:r>
            <w:proofErr w:type="spellEnd"/>
            <w:r w:rsidRPr="0017386A">
              <w:rPr>
                <w:sz w:val="20"/>
                <w:szCs w:val="20"/>
                <w:lang w:eastAsia="x-none"/>
              </w:rPr>
              <w:t>.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xml:space="preserve">- счета </w:t>
      </w:r>
      <w:proofErr w:type="spellStart"/>
      <w:r w:rsidRPr="00A03E99">
        <w:rPr>
          <w:rFonts w:eastAsia="Times New Roman"/>
          <w:sz w:val="22"/>
          <w:szCs w:val="22"/>
          <w:lang w:eastAsia="ru-RU"/>
        </w:rPr>
        <w:t>эскроу</w:t>
      </w:r>
      <w:proofErr w:type="spellEnd"/>
      <w:r w:rsidRPr="00A03E99">
        <w:rPr>
          <w:rFonts w:eastAsia="Times New Roman"/>
          <w:sz w:val="22"/>
          <w:szCs w:val="22"/>
          <w:lang w:eastAsia="ru-RU"/>
        </w:rPr>
        <w:t xml:space="preserve">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lastRenderedPageBreak/>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Выдача денежной наличности с банковского счета в валюте Российской Федерации</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0,5% от суммы,</w:t>
            </w:r>
          </w:p>
          <w:p w:rsidR="004F7A9C" w:rsidRPr="00FC4C0D" w:rsidRDefault="004F7A9C" w:rsidP="003B235F">
            <w:pPr>
              <w:jc w:val="center"/>
              <w:rPr>
                <w:sz w:val="22"/>
                <w:szCs w:val="22"/>
                <w:lang w:eastAsia="ru-RU"/>
              </w:rPr>
            </w:pPr>
            <w:r w:rsidRPr="00FC4C0D">
              <w:rPr>
                <w:sz w:val="22"/>
                <w:szCs w:val="22"/>
                <w:lang w:eastAsia="ru-RU"/>
              </w:rPr>
              <w:t>минимум 250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lastRenderedPageBreak/>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w:t>
            </w:r>
            <w:r w:rsidRPr="00FC4C0D">
              <w:rPr>
                <w:sz w:val="22"/>
                <w:szCs w:val="22"/>
                <w:lang w:eastAsia="ru-RU"/>
              </w:rPr>
              <w:lastRenderedPageBreak/>
              <w:t xml:space="preserve">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10% от суммы</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По письменной предварительной  заявке** за 5 рабочих дней до проведения операции</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w:t>
            </w:r>
            <w:proofErr w:type="spellStart"/>
            <w:r w:rsidRPr="00801B73">
              <w:rPr>
                <w:sz w:val="20"/>
                <w:szCs w:val="20"/>
                <w:lang w:eastAsia="ru-RU"/>
              </w:rPr>
              <w:t>паевый</w:t>
            </w:r>
            <w:proofErr w:type="spellEnd"/>
            <w:r w:rsidRPr="00801B73">
              <w:rPr>
                <w:sz w:val="20"/>
                <w:szCs w:val="20"/>
                <w:lang w:eastAsia="ru-RU"/>
              </w:rPr>
              <w:t xml:space="preserve">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w:t>
            </w:r>
            <w:r w:rsidRPr="00801B73">
              <w:rPr>
                <w:sz w:val="20"/>
                <w:szCs w:val="20"/>
                <w:lang w:eastAsia="ru-RU"/>
              </w:rPr>
              <w:lastRenderedPageBreak/>
              <w:t>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lastRenderedPageBreak/>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proofErr w:type="spellStart"/>
            <w:r w:rsidRPr="00B812DE">
              <w:rPr>
                <w:sz w:val="22"/>
                <w:szCs w:val="22"/>
              </w:rPr>
              <w:t>Покупюрный</w:t>
            </w:r>
            <w:proofErr w:type="spellEnd"/>
            <w:r w:rsidRPr="00B812DE">
              <w:rPr>
                <w:sz w:val="22"/>
                <w:szCs w:val="22"/>
              </w:rPr>
              <w:t xml:space="preserve">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w:t>
            </w:r>
            <w:r w:rsidRPr="00B812DE">
              <w:rPr>
                <w:sz w:val="22"/>
                <w:szCs w:val="22"/>
                <w:lang w:eastAsia="x-none"/>
              </w:rPr>
              <w:lastRenderedPageBreak/>
              <w:t xml:space="preserve">взимается Банком в день получения наличных денежных средств, дополнительно к комиссии, указанной в </w:t>
            </w:r>
            <w:r w:rsidRPr="00B812DE">
              <w:rPr>
                <w:sz w:val="22"/>
                <w:szCs w:val="22"/>
                <w:lang w:eastAsia="x-none"/>
              </w:rPr>
              <w:br/>
            </w:r>
            <w:proofErr w:type="spellStart"/>
            <w:r w:rsidRPr="00B812DE">
              <w:rPr>
                <w:sz w:val="22"/>
                <w:szCs w:val="22"/>
                <w:lang w:eastAsia="x-none"/>
              </w:rPr>
              <w:t>п.п</w:t>
            </w:r>
            <w:proofErr w:type="spellEnd"/>
            <w:r w:rsidRPr="00B812DE">
              <w:rPr>
                <w:sz w:val="22"/>
                <w:szCs w:val="22"/>
                <w:lang w:eastAsia="x-none"/>
              </w:rPr>
              <w:t>.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lastRenderedPageBreak/>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03E99">
        <w:rPr>
          <w:sz w:val="22"/>
          <w:szCs w:val="22"/>
          <w:lang w:eastAsia="ru-RU"/>
        </w:rPr>
        <w:t>эскроу</w:t>
      </w:r>
      <w:proofErr w:type="spellEnd"/>
      <w:r w:rsidRPr="00A03E99">
        <w:rPr>
          <w:sz w:val="22"/>
          <w:szCs w:val="22"/>
          <w:lang w:eastAsia="ru-RU"/>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w:t>
      </w:r>
      <w:proofErr w:type="gramStart"/>
      <w:r w:rsidRPr="00CD19A2">
        <w:rPr>
          <w:sz w:val="22"/>
          <w:szCs w:val="22"/>
          <w:lang w:eastAsia="ru-RU"/>
        </w:rPr>
        <w:t>*)Предварительная</w:t>
      </w:r>
      <w:proofErr w:type="gramEnd"/>
      <w:r w:rsidRPr="00CD19A2">
        <w:rPr>
          <w:sz w:val="22"/>
          <w:szCs w:val="22"/>
          <w:lang w:eastAsia="ru-RU"/>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lastRenderedPageBreak/>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 xml:space="preserve">46.33 - Торговля оптовая молочными продуктами, яйцами и </w:t>
      </w:r>
      <w:proofErr w:type="gramStart"/>
      <w:r w:rsidRPr="00FC4C0D">
        <w:rPr>
          <w:sz w:val="22"/>
          <w:szCs w:val="22"/>
        </w:rPr>
        <w:t>пищевыми маслами</w:t>
      </w:r>
      <w:proofErr w:type="gramEnd"/>
      <w:r w:rsidRPr="00FC4C0D">
        <w:rPr>
          <w:sz w:val="22"/>
          <w:szCs w:val="22"/>
        </w:rPr>
        <w:t xml:space="preserve">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 xml:space="preserve">47.21.2 - Торговля розничная консервированными фруктами и </w:t>
      </w:r>
      <w:proofErr w:type="gramStart"/>
      <w:r w:rsidRPr="00FC4C0D">
        <w:rPr>
          <w:sz w:val="22"/>
          <w:szCs w:val="22"/>
        </w:rPr>
        <w:t>овощами</w:t>
      </w:r>
      <w:proofErr w:type="gramEnd"/>
      <w:r w:rsidRPr="00FC4C0D">
        <w:rPr>
          <w:sz w:val="22"/>
          <w:szCs w:val="22"/>
        </w:rPr>
        <w:t xml:space="preserve">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w:t>
      </w:r>
      <w:proofErr w:type="gramStart"/>
      <w:r>
        <w:t>НДС)*</w:t>
      </w:r>
      <w:proofErr w:type="gramEnd"/>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E0BB6">
              <w:rPr>
                <w:sz w:val="20"/>
                <w:szCs w:val="20"/>
              </w:rPr>
              <w:t>суммы  операции</w:t>
            </w:r>
            <w:proofErr w:type="gramEnd"/>
            <w:r w:rsidRPr="002E0BB6">
              <w:rPr>
                <w:sz w:val="20"/>
                <w:szCs w:val="20"/>
              </w:rPr>
              <w:t xml:space="preserve">,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xml:space="preserve">- по операциям, связанным с перечислением денежных средств с транзитного валютного счета резидента для зачисления на </w:t>
            </w:r>
            <w:r w:rsidRPr="002E0BB6">
              <w:rPr>
                <w:sz w:val="20"/>
                <w:szCs w:val="20"/>
              </w:rPr>
              <w:lastRenderedPageBreak/>
              <w:t>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lastRenderedPageBreak/>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D12556">
              <w:rPr>
                <w:bCs/>
                <w:sz w:val="20"/>
                <w:szCs w:val="20"/>
              </w:rPr>
              <w:t>не</w:t>
            </w:r>
            <w:proofErr w:type="gramEnd"/>
            <w:r w:rsidRPr="00D12556">
              <w:rPr>
                <w:bCs/>
                <w:sz w:val="20"/>
                <w:szCs w:val="20"/>
              </w:rPr>
              <w:t xml:space="preserve"> оказывается.</w:t>
            </w:r>
          </w:p>
          <w:p w:rsidR="00D12556" w:rsidRPr="00D12556" w:rsidRDefault="00D12556" w:rsidP="00D12556">
            <w:pPr>
              <w:spacing w:before="40"/>
              <w:jc w:val="both"/>
              <w:rPr>
                <w:bCs/>
                <w:sz w:val="20"/>
                <w:szCs w:val="20"/>
              </w:rPr>
            </w:pPr>
            <w:r w:rsidRPr="00D12556">
              <w:rPr>
                <w:bCs/>
                <w:sz w:val="20"/>
                <w:szCs w:val="20"/>
              </w:rPr>
              <w:t xml:space="preserve">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w:t>
            </w:r>
            <w:r w:rsidRPr="00D12556">
              <w:rPr>
                <w:bCs/>
                <w:sz w:val="20"/>
                <w:szCs w:val="20"/>
              </w:rPr>
              <w:lastRenderedPageBreak/>
              <w:t>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xml:space="preserve">- при переводе контракта (кредитного </w:t>
            </w:r>
            <w:proofErr w:type="gramStart"/>
            <w:r w:rsidRPr="002E0BB6">
              <w:rPr>
                <w:sz w:val="20"/>
                <w:szCs w:val="20"/>
              </w:rPr>
              <w:t>договора)  из</w:t>
            </w:r>
            <w:proofErr w:type="gramEnd"/>
            <w:r w:rsidRPr="002E0BB6">
              <w:rPr>
                <w:sz w:val="20"/>
                <w:szCs w:val="20"/>
              </w:rPr>
              <w:t xml:space="preserve">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xml:space="preserve">- от общей суммы неоплаченных </w:t>
            </w:r>
            <w:r w:rsidRPr="002E0BB6">
              <w:rPr>
                <w:sz w:val="20"/>
                <w:szCs w:val="20"/>
              </w:rPr>
              <w:lastRenderedPageBreak/>
              <w:t>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proofErr w:type="gramStart"/>
            <w:r w:rsidRPr="002E0BB6">
              <w:rPr>
                <w:sz w:val="20"/>
                <w:szCs w:val="20"/>
              </w:rPr>
              <w:t>законодательством  Российской</w:t>
            </w:r>
            <w:proofErr w:type="gramEnd"/>
            <w:r w:rsidRPr="002E0BB6">
              <w:rPr>
                <w:sz w:val="20"/>
                <w:szCs w:val="20"/>
              </w:rPr>
              <w:t xml:space="preserve">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lastRenderedPageBreak/>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lastRenderedPageBreak/>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xml:space="preserve">** </w:t>
      </w:r>
      <w:proofErr w:type="gramStart"/>
      <w:r w:rsidRPr="00CD19A2">
        <w:rPr>
          <w:sz w:val="22"/>
          <w:szCs w:val="22"/>
        </w:rPr>
        <w:t>В</w:t>
      </w:r>
      <w:proofErr w:type="gramEnd"/>
      <w:r w:rsidRPr="00CD19A2">
        <w:rPr>
          <w:sz w:val="22"/>
          <w:szCs w:val="22"/>
        </w:rPr>
        <w:t xml:space="preserve">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 xml:space="preserve">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w:t>
      </w:r>
      <w:r w:rsidRPr="00CD19A2">
        <w:rPr>
          <w:sz w:val="22"/>
          <w:szCs w:val="22"/>
        </w:rPr>
        <w:lastRenderedPageBreak/>
        <w:t>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CD19A2">
        <w:rPr>
          <w:sz w:val="22"/>
          <w:szCs w:val="22"/>
        </w:rPr>
        <w:t>о  подтверждающих</w:t>
      </w:r>
      <w:proofErr w:type="gramEnd"/>
      <w:r w:rsidRPr="00CD19A2">
        <w:rPr>
          <w:sz w:val="22"/>
          <w:szCs w:val="22"/>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6" w:name="_Toc510624754"/>
      <w:bookmarkStart w:id="7" w:name="_Toc68542212"/>
      <w:r w:rsidRPr="0021434C">
        <w:t>Операции с ценными бумагами</w:t>
      </w:r>
      <w:bookmarkEnd w:id="6"/>
      <w:bookmarkEnd w:id="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8"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не взимается в случае открытия и </w:t>
            </w:r>
            <w:proofErr w:type="spellStart"/>
            <w:r w:rsidRPr="00B8060D">
              <w:rPr>
                <w:rFonts w:eastAsia="Times New Roman"/>
                <w:bCs/>
                <w:color w:val="000000"/>
                <w:sz w:val="22"/>
                <w:szCs w:val="22"/>
                <w:lang w:eastAsia="ru-RU"/>
              </w:rPr>
              <w:t>авизования</w:t>
            </w:r>
            <w:proofErr w:type="spellEnd"/>
            <w:r w:rsidRPr="00B8060D">
              <w:rPr>
                <w:rFonts w:eastAsia="Times New Roman"/>
                <w:bCs/>
                <w:color w:val="000000"/>
                <w:sz w:val="22"/>
                <w:szCs w:val="22"/>
                <w:lang w:eastAsia="ru-RU"/>
              </w:rPr>
              <w:t xml:space="preserve">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 xml:space="preserve">Комиссия уплачивается по мере осуществления платежей по аккредитиву в дату осуществления соответствующего платежа, а в </w:t>
            </w:r>
            <w:r w:rsidRPr="00B8060D">
              <w:rPr>
                <w:iCs/>
                <w:sz w:val="22"/>
                <w:szCs w:val="22"/>
              </w:rPr>
              <w:lastRenderedPageBreak/>
              <w:t>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не взимается в случае открытия и </w:t>
            </w:r>
            <w:proofErr w:type="spellStart"/>
            <w:r w:rsidRPr="00B8060D">
              <w:rPr>
                <w:rFonts w:eastAsia="Times New Roman"/>
                <w:bCs/>
                <w:color w:val="000000"/>
                <w:sz w:val="22"/>
                <w:szCs w:val="22"/>
                <w:lang w:eastAsia="ru-RU"/>
              </w:rPr>
              <w:t>авизования</w:t>
            </w:r>
            <w:proofErr w:type="spellEnd"/>
            <w:r w:rsidRPr="00B8060D">
              <w:rPr>
                <w:rFonts w:eastAsia="Times New Roman"/>
                <w:bCs/>
                <w:color w:val="000000"/>
                <w:sz w:val="22"/>
                <w:szCs w:val="22"/>
                <w:lang w:eastAsia="ru-RU"/>
              </w:rPr>
              <w:t xml:space="preserve">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взимается за обработку/проверку одного комплекта документов (в </w:t>
            </w:r>
            <w:proofErr w:type="spellStart"/>
            <w:r w:rsidRPr="00B8060D">
              <w:rPr>
                <w:rFonts w:eastAsia="Times New Roman"/>
                <w:bCs/>
                <w:color w:val="000000"/>
                <w:sz w:val="22"/>
                <w:szCs w:val="22"/>
                <w:lang w:eastAsia="ru-RU"/>
              </w:rPr>
              <w:t>т.ч</w:t>
            </w:r>
            <w:proofErr w:type="spellEnd"/>
            <w:r w:rsidRPr="00B8060D">
              <w:rPr>
                <w:rFonts w:eastAsia="Times New Roman"/>
                <w:bCs/>
                <w:color w:val="000000"/>
                <w:sz w:val="22"/>
                <w:szCs w:val="22"/>
                <w:lang w:eastAsia="ru-RU"/>
              </w:rPr>
              <w:t>.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w:t>
            </w:r>
            <w:r w:rsidRPr="00B8060D">
              <w:rPr>
                <w:iCs/>
                <w:sz w:val="20"/>
                <w:szCs w:val="20"/>
              </w:rPr>
              <w:lastRenderedPageBreak/>
              <w:t>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 xml:space="preserve">0,15% от суммы аккредитива, увеличения суммы аккредитива и/или </w:t>
            </w:r>
            <w:r w:rsidRPr="00B8060D">
              <w:rPr>
                <w:bCs/>
                <w:sz w:val="22"/>
                <w:szCs w:val="22"/>
              </w:rPr>
              <w:lastRenderedPageBreak/>
              <w:t>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(не применяется при изменении условий и аннуляции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w:t>
            </w:r>
            <w:proofErr w:type="spellStart"/>
            <w:r w:rsidRPr="00B8060D">
              <w:rPr>
                <w:rFonts w:eastAsia="Times New Roman"/>
                <w:bCs/>
                <w:color w:val="000000"/>
                <w:sz w:val="22"/>
                <w:szCs w:val="22"/>
                <w:lang w:eastAsia="ru-RU"/>
              </w:rPr>
              <w:t>трансферация</w:t>
            </w:r>
            <w:proofErr w:type="spellEnd"/>
            <w:r w:rsidRPr="00B8060D">
              <w:rPr>
                <w:rFonts w:eastAsia="Times New Roman"/>
                <w:bCs/>
                <w:color w:val="000000"/>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w:t>
            </w:r>
            <w:proofErr w:type="spellStart"/>
            <w:r w:rsidRPr="00B8060D">
              <w:rPr>
                <w:rFonts w:eastAsia="Times New Roman"/>
                <w:bCs/>
                <w:color w:val="000000"/>
                <w:sz w:val="22"/>
                <w:szCs w:val="22"/>
                <w:lang w:eastAsia="ru-RU"/>
              </w:rPr>
              <w:t>трансферированной</w:t>
            </w:r>
            <w:proofErr w:type="spellEnd"/>
            <w:r w:rsidRPr="00B8060D">
              <w:rPr>
                <w:rFonts w:eastAsia="Times New Roman"/>
                <w:bCs/>
                <w:color w:val="000000"/>
                <w:sz w:val="22"/>
                <w:szCs w:val="22"/>
                <w:lang w:eastAsia="ru-RU"/>
              </w:rPr>
              <w:t xml:space="preserve"> 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запрос согласия на аннуляцию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 xml:space="preserve">Предварительное </w:t>
            </w: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lastRenderedPageBreak/>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w:t>
            </w:r>
            <w:proofErr w:type="spellStart"/>
            <w:r w:rsidRPr="00B8060D">
              <w:rPr>
                <w:rFonts w:eastAsia="Times New Roman"/>
                <w:bCs/>
                <w:color w:val="000000"/>
                <w:sz w:val="22"/>
                <w:szCs w:val="22"/>
                <w:lang w:eastAsia="ru-RU"/>
              </w:rPr>
              <w:t>трансферация</w:t>
            </w:r>
            <w:proofErr w:type="spellEnd"/>
            <w:r w:rsidRPr="00B8060D">
              <w:rPr>
                <w:rFonts w:eastAsia="Times New Roman"/>
                <w:bCs/>
                <w:color w:val="000000"/>
                <w:sz w:val="22"/>
                <w:szCs w:val="22"/>
                <w:lang w:eastAsia="ru-RU"/>
              </w:rPr>
              <w:t xml:space="preserve">);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w:t>
            </w:r>
            <w:proofErr w:type="spellStart"/>
            <w:r w:rsidRPr="00B8060D">
              <w:rPr>
                <w:rFonts w:eastAsia="Times New Roman"/>
                <w:bCs/>
                <w:color w:val="000000"/>
                <w:sz w:val="22"/>
                <w:szCs w:val="22"/>
                <w:lang w:eastAsia="ru-RU"/>
              </w:rPr>
              <w:t>трансферированной</w:t>
            </w:r>
            <w:proofErr w:type="spellEnd"/>
            <w:r w:rsidRPr="00B8060D">
              <w:rPr>
                <w:rFonts w:eastAsia="Times New Roman"/>
                <w:bCs/>
                <w:color w:val="000000"/>
                <w:sz w:val="22"/>
                <w:szCs w:val="22"/>
                <w:lang w:eastAsia="ru-RU"/>
              </w:rPr>
              <w:t xml:space="preserve">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запроса на аннуляцию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lastRenderedPageBreak/>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xml:space="preserve">. Возмещение комиссий и расходов иных банков по документарным операциям, если таковые возникают </w:t>
      </w:r>
      <w:proofErr w:type="gramStart"/>
      <w:r w:rsidRPr="0043082D">
        <w:rPr>
          <w:rFonts w:eastAsia="Times New Roman"/>
          <w:sz w:val="20"/>
          <w:szCs w:val="20"/>
          <w:lang w:eastAsia="ru-RU"/>
        </w:rPr>
        <w:t>и</w:t>
      </w:r>
      <w:proofErr w:type="gramEnd"/>
      <w:r w:rsidRPr="0043082D">
        <w:rPr>
          <w:rFonts w:eastAsia="Times New Roman"/>
          <w:sz w:val="20"/>
          <w:szCs w:val="20"/>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8"/>
    <w:p w:rsidR="003B235F" w:rsidRDefault="003B235F"/>
    <w:p w:rsidR="008D0185" w:rsidRDefault="008D0185" w:rsidP="00B8060D">
      <w:pPr>
        <w:pStyle w:val="1"/>
        <w:numPr>
          <w:ilvl w:val="0"/>
          <w:numId w:val="35"/>
        </w:numPr>
      </w:pPr>
      <w:bookmarkStart w:id="9" w:name="_Toc510624756"/>
      <w:bookmarkStart w:id="10" w:name="_Toc68542214"/>
      <w:r w:rsidRPr="00555859">
        <w:t>Гарантийные операции</w:t>
      </w:r>
      <w:bookmarkEnd w:id="9"/>
      <w:bookmarkEnd w:id="10"/>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 xml:space="preserve">5 000 </w:t>
            </w:r>
            <w:proofErr w:type="spellStart"/>
            <w:r>
              <w:rPr>
                <w:sz w:val="22"/>
                <w:szCs w:val="22"/>
                <w:lang w:eastAsia="ru-RU"/>
              </w:rPr>
              <w:t>руб</w:t>
            </w:r>
            <w:proofErr w:type="spellEnd"/>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proofErr w:type="spellStart"/>
            <w:r w:rsidRPr="00F25BBA">
              <w:rPr>
                <w:sz w:val="22"/>
                <w:szCs w:val="22"/>
                <w:lang w:eastAsia="ru-RU"/>
              </w:rPr>
              <w:t>Авизование</w:t>
            </w:r>
            <w:proofErr w:type="spellEnd"/>
            <w:r w:rsidRPr="00F25BBA">
              <w:rPr>
                <w:sz w:val="22"/>
                <w:szCs w:val="22"/>
                <w:lang w:eastAsia="ru-RU"/>
              </w:rPr>
              <w:t xml:space="preserve"> гарантий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0,1% от суммы,</w:t>
            </w:r>
          </w:p>
          <w:p w:rsidR="008D0185" w:rsidRPr="00F25BBA" w:rsidRDefault="008D0185" w:rsidP="00A71DC3">
            <w:pPr>
              <w:jc w:val="center"/>
              <w:rPr>
                <w:sz w:val="22"/>
                <w:szCs w:val="22"/>
                <w:lang w:eastAsia="ru-RU"/>
              </w:rPr>
            </w:pPr>
            <w:r w:rsidRPr="00F25BBA">
              <w:rPr>
                <w:sz w:val="22"/>
                <w:szCs w:val="22"/>
                <w:lang w:eastAsia="ru-RU"/>
              </w:rPr>
              <w:t>мин. 5</w:t>
            </w:r>
            <w:r w:rsidR="00A66D38">
              <w:rPr>
                <w:sz w:val="22"/>
                <w:szCs w:val="22"/>
                <w:lang w:eastAsia="ru-RU"/>
              </w:rPr>
              <w:t>5</w:t>
            </w:r>
            <w:r w:rsidRPr="00F25BBA">
              <w:rPr>
                <w:sz w:val="22"/>
                <w:szCs w:val="22"/>
                <w:lang w:eastAsia="ru-RU"/>
              </w:rPr>
              <w:t xml:space="preserve"> долл. США,</w:t>
            </w:r>
          </w:p>
          <w:p w:rsidR="008D0185" w:rsidRPr="00F25BBA" w:rsidRDefault="008D0185" w:rsidP="00A66D38">
            <w:pPr>
              <w:jc w:val="center"/>
              <w:rPr>
                <w:sz w:val="22"/>
                <w:szCs w:val="22"/>
                <w:lang w:eastAsia="ru-RU"/>
              </w:rPr>
            </w:pPr>
            <w:r w:rsidRPr="00F25BBA">
              <w:rPr>
                <w:sz w:val="22"/>
                <w:szCs w:val="22"/>
                <w:lang w:eastAsia="ru-RU"/>
              </w:rPr>
              <w:t>макс. 30</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proofErr w:type="spellStart"/>
            <w:r w:rsidRPr="00F25BBA">
              <w:rPr>
                <w:sz w:val="22"/>
                <w:szCs w:val="22"/>
                <w:lang w:eastAsia="ru-RU"/>
              </w:rPr>
              <w:t>Авизование</w:t>
            </w:r>
            <w:proofErr w:type="spellEnd"/>
            <w:r w:rsidRPr="00F25BBA">
              <w:rPr>
                <w:sz w:val="22"/>
                <w:szCs w:val="22"/>
                <w:lang w:eastAsia="ru-RU"/>
              </w:rPr>
              <w:t xml:space="preserve"> изменений условий гарантий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lastRenderedPageBreak/>
              <w:t>6.5.</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p w:rsidR="008D0185" w:rsidRPr="00F25BBA" w:rsidRDefault="008D0185" w:rsidP="00A71DC3">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Проверка подлинности подписей на гарантийных письмах 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Переписка по гарантии</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3</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bl>
    <w:p w:rsidR="008D0185" w:rsidRDefault="008D0185"/>
    <w:p w:rsidR="008D0185" w:rsidRDefault="008D0185" w:rsidP="008D0185">
      <w:pPr>
        <w:pStyle w:val="1"/>
      </w:pPr>
      <w:bookmarkStart w:id="11" w:name="_Toc510624757"/>
      <w:bookmarkStart w:id="12" w:name="_Toc68542215"/>
      <w:r w:rsidRPr="00EE4C97">
        <w:t>7. Дистанционное банковское обслуживание (ДБО)</w:t>
      </w:r>
      <w:bookmarkEnd w:id="11"/>
      <w:bookmarkEnd w:id="12"/>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Pr="008D0185" w:rsidRDefault="008D0185" w:rsidP="00A71DC3">
            <w:pPr>
              <w:rPr>
                <w:rFonts w:eastAsia="Times New Roman"/>
                <w:bCs/>
                <w:sz w:val="20"/>
                <w:szCs w:val="20"/>
                <w:lang w:eastAsia="ru-RU"/>
              </w:rPr>
            </w:pPr>
            <w:r w:rsidRPr="008D0185">
              <w:rPr>
                <w:sz w:val="20"/>
                <w:szCs w:val="20"/>
              </w:rPr>
              <w:t>«Интернет-Клиент»</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P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B87D29">
              <w:rPr>
                <w:bCs/>
                <w:sz w:val="20"/>
                <w:szCs w:val="20"/>
              </w:rPr>
              <w:t>/«</w:t>
            </w:r>
            <w:proofErr w:type="gramEnd"/>
            <w:r w:rsidRPr="00B87D29">
              <w:rPr>
                <w:bCs/>
                <w:sz w:val="20"/>
                <w:szCs w:val="20"/>
              </w:rPr>
              <w:t>Интернет-Клиент»/ «Мобильный банк».</w:t>
            </w:r>
          </w:p>
          <w:p w:rsidR="00B87D29" w:rsidRPr="00B87D29" w:rsidRDefault="00B87D29" w:rsidP="00B87D29">
            <w:pPr>
              <w:jc w:val="both"/>
              <w:rPr>
                <w:bCs/>
                <w:iCs/>
                <w:sz w:val="20"/>
                <w:szCs w:val="20"/>
              </w:rPr>
            </w:pPr>
            <w:r w:rsidRPr="00B87D29">
              <w:rPr>
                <w:bCs/>
                <w:sz w:val="20"/>
                <w:szCs w:val="20"/>
              </w:rPr>
              <w:t xml:space="preserve">Комиссия взимается с клиента вне зависимости от количества подключенных к системе ДБО   </w:t>
            </w:r>
            <w:proofErr w:type="gramStart"/>
            <w:r w:rsidRPr="00B87D29">
              <w:rPr>
                <w:bCs/>
                <w:sz w:val="20"/>
                <w:szCs w:val="20"/>
              </w:rPr>
              <w:t xml:space="preserve">   «</w:t>
            </w:r>
            <w:proofErr w:type="gramEnd"/>
            <w:r w:rsidRPr="00B87D29">
              <w:rPr>
                <w:bCs/>
                <w:sz w:val="20"/>
                <w:szCs w:val="20"/>
              </w:rPr>
              <w:t>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 xml:space="preserve">При переводе клиента с одной системы ДБО на другую в соответствии с п. </w:t>
            </w:r>
            <w:r w:rsidRPr="00B87D29">
              <w:rPr>
                <w:sz w:val="20"/>
                <w:szCs w:val="20"/>
              </w:rPr>
              <w:lastRenderedPageBreak/>
              <w:t>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w:t>
            </w:r>
            <w:proofErr w:type="spellStart"/>
            <w:r w:rsidRPr="00B87D29">
              <w:rPr>
                <w:sz w:val="20"/>
                <w:szCs w:val="20"/>
              </w:rPr>
              <w:t>п.п</w:t>
            </w:r>
            <w:proofErr w:type="spellEnd"/>
            <w:r w:rsidRPr="00B87D29">
              <w:rPr>
                <w:sz w:val="20"/>
                <w:szCs w:val="20"/>
              </w:rPr>
              <w:t xml:space="preserve">.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 xml:space="preserve">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2D1A67">
              <w:rPr>
                <w:bCs/>
                <w:sz w:val="22"/>
                <w:szCs w:val="22"/>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к </w:t>
            </w:r>
            <w:proofErr w:type="gramStart"/>
            <w:r w:rsidRPr="00237682">
              <w:rPr>
                <w:sz w:val="20"/>
                <w:szCs w:val="20"/>
                <w:lang w:eastAsia="ru-RU"/>
              </w:rPr>
              <w:t>системе  «</w:t>
            </w:r>
            <w:proofErr w:type="gramEnd"/>
            <w:r w:rsidRPr="00237682">
              <w:rPr>
                <w:sz w:val="20"/>
                <w:szCs w:val="20"/>
                <w:lang w:eastAsia="ru-RU"/>
              </w:rPr>
              <w:t>Интернет-Клиент» с использованием Личного кабинета.</w:t>
            </w:r>
          </w:p>
          <w:p w:rsidR="00485EBC" w:rsidRPr="00237682"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одного постоянного сертификата ключа проверки </w:t>
            </w:r>
            <w:r w:rsidRPr="00F25BBA">
              <w:rPr>
                <w:sz w:val="22"/>
                <w:szCs w:val="22"/>
                <w:lang w:eastAsia="ru-RU"/>
              </w:rPr>
              <w:lastRenderedPageBreak/>
              <w:t>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lastRenderedPageBreak/>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lastRenderedPageBreak/>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w:t>
            </w:r>
            <w:proofErr w:type="gramStart"/>
            <w:r w:rsidRPr="00237682">
              <w:rPr>
                <w:sz w:val="20"/>
                <w:szCs w:val="20"/>
              </w:rPr>
              <w:t>дней  с</w:t>
            </w:r>
            <w:proofErr w:type="gramEnd"/>
            <w:r w:rsidRPr="00237682">
              <w:rPr>
                <w:sz w:val="20"/>
                <w:szCs w:val="20"/>
              </w:rPr>
              <w:t xml:space="preserve">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P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Pr="00237682"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xml:space="preserve">№ 217-ФЗ «О ведении гражданами садоводства и </w:t>
            </w:r>
            <w:r w:rsidRPr="002D1A67">
              <w:rPr>
                <w:sz w:val="22"/>
                <w:szCs w:val="22"/>
              </w:rPr>
              <w:lastRenderedPageBreak/>
              <w:t>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lastRenderedPageBreak/>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237682">
              <w:rPr>
                <w:sz w:val="20"/>
                <w:szCs w:val="20"/>
                <w:lang w:eastAsia="ru-RU"/>
              </w:rPr>
              <w:t>обмена  сертификата</w:t>
            </w:r>
            <w:proofErr w:type="gramEnd"/>
            <w:r w:rsidRPr="00237682">
              <w:rPr>
                <w:sz w:val="20"/>
                <w:szCs w:val="20"/>
                <w:lang w:eastAsia="ru-RU"/>
              </w:rPr>
              <w:t xml:space="preserve"> ключа проверки электронной подписи. </w:t>
            </w:r>
          </w:p>
          <w:p w:rsidR="00237682" w:rsidRP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P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B87D29">
              <w:rPr>
                <w:bCs/>
                <w:iCs/>
                <w:sz w:val="20"/>
                <w:szCs w:val="20"/>
              </w:rPr>
              <w:t>Банком,  осуществляется</w:t>
            </w:r>
            <w:proofErr w:type="gramEnd"/>
            <w:r w:rsidRPr="00B87D29">
              <w:rPr>
                <w:bCs/>
                <w:iCs/>
                <w:sz w:val="20"/>
                <w:szCs w:val="20"/>
              </w:rPr>
              <w:t xml:space="preserve"> клиентом только с использованием Личного кабинета.</w:t>
            </w:r>
          </w:p>
          <w:p w:rsidR="00B87D29" w:rsidRPr="00B87D29" w:rsidRDefault="00B87D29" w:rsidP="00B87D29">
            <w:pPr>
              <w:spacing w:before="40" w:after="40"/>
              <w:jc w:val="both"/>
              <w:rPr>
                <w:bCs/>
                <w:sz w:val="20"/>
                <w:szCs w:val="20"/>
              </w:rPr>
            </w:pPr>
            <w:r w:rsidRPr="00B87D29">
              <w:rPr>
                <w:bCs/>
                <w:sz w:val="20"/>
                <w:szCs w:val="20"/>
              </w:rPr>
              <w:lastRenderedPageBreak/>
              <w:t>Тариф включает в себя НДС (дополнительно не взимается)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 xml:space="preserve">За неполный месяц обслуживания плата </w:t>
            </w:r>
            <w:r w:rsidRPr="004352F7">
              <w:rPr>
                <w:bCs/>
                <w:sz w:val="20"/>
                <w:szCs w:val="20"/>
              </w:rPr>
              <w:lastRenderedPageBreak/>
              <w:t>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lastRenderedPageBreak/>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3" w:name="_Toc510624758"/>
      <w:bookmarkStart w:id="14" w:name="_Toc68542216"/>
      <w:r w:rsidRPr="00F25BBA">
        <w:t>8. Хранение ценностей клиентов в хранилище ценностей Банка</w:t>
      </w:r>
      <w:bookmarkEnd w:id="13"/>
      <w:bookmarkEnd w:id="14"/>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5" w:name="_Toc510624759"/>
      <w:bookmarkStart w:id="16" w:name="_Toc68542217"/>
      <w:r w:rsidRPr="00F25BBA">
        <w:t>9. Аренда клиентами индивидуальных сейфовых ячеек</w:t>
      </w:r>
      <w:bookmarkEnd w:id="15"/>
      <w:bookmarkEnd w:id="16"/>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lastRenderedPageBreak/>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lastRenderedPageBreak/>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7" w:name="_Toc510624760"/>
      <w:bookmarkStart w:id="18"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7"/>
      <w:bookmarkEnd w:id="1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проинкассированной</w:t>
            </w:r>
            <w:proofErr w:type="spellEnd"/>
            <w:r w:rsidRPr="00F25BBA">
              <w:rPr>
                <w:sz w:val="22"/>
                <w:szCs w:val="22"/>
                <w:lang w:eastAsia="ru-RU"/>
              </w:rPr>
              <w:t xml:space="preserve">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9" w:name="_Toc510624761"/>
      <w:bookmarkStart w:id="20" w:name="_Toc68542219"/>
      <w:r w:rsidRPr="00F25BBA">
        <w:lastRenderedPageBreak/>
        <w:t>11. Операции по покупке-продаже иностранной валюты</w:t>
      </w:r>
      <w:r w:rsidRPr="00F25BBA">
        <w:rPr>
          <w:rStyle w:val="a6"/>
          <w:b w:val="0"/>
          <w:sz w:val="22"/>
          <w:szCs w:val="22"/>
        </w:rPr>
        <w:t>1</w:t>
      </w:r>
      <w:bookmarkEnd w:id="19"/>
      <w:bookmarkEnd w:id="2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lastRenderedPageBreak/>
              <w:t xml:space="preserve">Покупка непосредственно у Банка иностранной </w:t>
            </w:r>
            <w:r w:rsidRPr="00F25BBA">
              <w:rPr>
                <w:sz w:val="22"/>
                <w:szCs w:val="22"/>
                <w:lang w:eastAsia="ru-RU"/>
              </w:rPr>
              <w:lastRenderedPageBreak/>
              <w:t>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w:t>
      </w:r>
      <w:proofErr w:type="gramStart"/>
      <w:r w:rsidRPr="00F25BBA">
        <w:rPr>
          <w:sz w:val="22"/>
          <w:szCs w:val="22"/>
          <w:lang w:eastAsia="ru-RU"/>
        </w:rPr>
        <w:t>Банка  и</w:t>
      </w:r>
      <w:proofErr w:type="gramEnd"/>
      <w:r w:rsidRPr="00F25BBA">
        <w:rPr>
          <w:sz w:val="22"/>
          <w:szCs w:val="22"/>
          <w:lang w:eastAsia="ru-RU"/>
        </w:rPr>
        <w:t xml:space="preserve">/или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F25BBA">
        <w:rPr>
          <w:sz w:val="22"/>
          <w:szCs w:val="22"/>
          <w:lang w:eastAsia="ru-RU"/>
        </w:rPr>
        <w:t>ие</w:t>
      </w:r>
      <w:proofErr w:type="spellEnd"/>
      <w:r w:rsidRPr="00F25BBA">
        <w:rPr>
          <w:sz w:val="22"/>
          <w:szCs w:val="22"/>
          <w:lang w:eastAsia="ru-RU"/>
        </w:rPr>
        <w:t>)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1" w:name="_Toc510624762"/>
      <w:bookmarkStart w:id="22" w:name="_Toc68542220"/>
      <w:r w:rsidRPr="00F25BBA">
        <w:t>12. Кредитные операции</w:t>
      </w:r>
      <w:bookmarkEnd w:id="21"/>
      <w:bookmarkEnd w:id="22"/>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кредитного продукта «</w:t>
            </w:r>
            <w:proofErr w:type="spellStart"/>
            <w:r>
              <w:t>Агростарт</w:t>
            </w:r>
            <w:proofErr w:type="spellEnd"/>
            <w:r>
              <w:t xml:space="preserve">»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w:t>
            </w:r>
            <w:r w:rsidRPr="00E433A9">
              <w:rPr>
                <w:bCs/>
                <w:sz w:val="22"/>
                <w:szCs w:val="22"/>
              </w:rPr>
              <w:lastRenderedPageBreak/>
              <w:t>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w:t>
            </w:r>
            <w:proofErr w:type="spellStart"/>
            <w:r w:rsidR="00227C34" w:rsidRPr="00227C34">
              <w:rPr>
                <w:bCs/>
                <w:sz w:val="22"/>
                <w:szCs w:val="22"/>
              </w:rPr>
              <w:t>АПК_Инвест</w:t>
            </w:r>
            <w:proofErr w:type="spellEnd"/>
            <w:r w:rsidR="00227C34" w:rsidRPr="00227C34">
              <w:rPr>
                <w:bCs/>
                <w:sz w:val="22"/>
                <w:szCs w:val="22"/>
              </w:rPr>
              <w:t>» и «</w:t>
            </w:r>
            <w:proofErr w:type="spellStart"/>
            <w:r w:rsidR="00227C34" w:rsidRPr="00227C34">
              <w:rPr>
                <w:bCs/>
                <w:sz w:val="22"/>
                <w:szCs w:val="22"/>
              </w:rPr>
              <w:t>Микро_АПК</w:t>
            </w:r>
            <w:proofErr w:type="spellEnd"/>
            <w:r w:rsidR="00227C34" w:rsidRPr="00227C34">
              <w:rPr>
                <w:bCs/>
                <w:sz w:val="22"/>
                <w:szCs w:val="22"/>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w:t>
            </w:r>
            <w:proofErr w:type="spellStart"/>
            <w:r w:rsidRPr="00BD4EE6">
              <w:rPr>
                <w:sz w:val="22"/>
                <w:szCs w:val="22"/>
              </w:rPr>
              <w:t>предпринима-телям</w:t>
            </w:r>
            <w:proofErr w:type="spellEnd"/>
            <w:r w:rsidRPr="00BD4EE6">
              <w:rPr>
                <w:sz w:val="22"/>
                <w:szCs w:val="22"/>
              </w:rPr>
              <w:t xml:space="preserve"> на неотложные нужды для поддержки </w:t>
            </w:r>
            <w:r w:rsidRPr="00BD4EE6">
              <w:rPr>
                <w:sz w:val="22"/>
                <w:szCs w:val="22"/>
              </w:rPr>
              <w:lastRenderedPageBreak/>
              <w:t>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BD4EE6">
              <w:rPr>
                <w:bCs/>
                <w:sz w:val="22"/>
                <w:szCs w:val="22"/>
              </w:rPr>
              <w:t>Рефинанс</w:t>
            </w:r>
            <w:proofErr w:type="spellEnd"/>
            <w:r w:rsidRPr="00BD4EE6">
              <w:rPr>
                <w:bCs/>
                <w:sz w:val="22"/>
                <w:szCs w:val="22"/>
              </w:rPr>
              <w:t xml:space="preserve">», «Сезонный Животноводство </w:t>
            </w:r>
            <w:proofErr w:type="spellStart"/>
            <w:r w:rsidRPr="00BD4EE6">
              <w:rPr>
                <w:bCs/>
                <w:sz w:val="22"/>
                <w:szCs w:val="22"/>
              </w:rPr>
              <w:t>Рефинанс</w:t>
            </w:r>
            <w:proofErr w:type="spellEnd"/>
            <w:r w:rsidRPr="00BD4EE6">
              <w:rPr>
                <w:bCs/>
                <w:sz w:val="22"/>
                <w:szCs w:val="22"/>
              </w:rPr>
              <w:t xml:space="preserve">», «Сезонный Переработка </w:t>
            </w:r>
            <w:proofErr w:type="spellStart"/>
            <w:r w:rsidRPr="00BD4EE6">
              <w:rPr>
                <w:bCs/>
                <w:sz w:val="22"/>
                <w:szCs w:val="22"/>
              </w:rPr>
              <w:t>Рефинанс</w:t>
            </w:r>
            <w:proofErr w:type="spellEnd"/>
            <w:r w:rsidRPr="00BD4EE6">
              <w:rPr>
                <w:bCs/>
                <w:sz w:val="22"/>
                <w:szCs w:val="22"/>
              </w:rPr>
              <w:t xml:space="preserve">», «Оборотный-стандарт </w:t>
            </w:r>
            <w:proofErr w:type="spellStart"/>
            <w:r w:rsidRPr="00BD4EE6">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w:t>
            </w:r>
            <w:r w:rsidRPr="004772B1">
              <w:rPr>
                <w:bCs/>
              </w:rPr>
              <w:lastRenderedPageBreak/>
              <w:t xml:space="preserve">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lastRenderedPageBreak/>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w:t>
            </w:r>
            <w:proofErr w:type="spellStart"/>
            <w:r w:rsidRPr="00330C4C">
              <w:rPr>
                <w:sz w:val="22"/>
                <w:szCs w:val="22"/>
              </w:rPr>
              <w:t>Агростарт</w:t>
            </w:r>
            <w:proofErr w:type="spellEnd"/>
            <w:r w:rsidRPr="00330C4C">
              <w:rPr>
                <w:sz w:val="22"/>
                <w:szCs w:val="22"/>
              </w:rPr>
              <w:t>»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w:t>
            </w:r>
            <w:r w:rsidRPr="00E433A9">
              <w:rPr>
                <w:bCs/>
                <w:sz w:val="22"/>
                <w:szCs w:val="22"/>
              </w:rPr>
              <w:lastRenderedPageBreak/>
              <w:t>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w:t>
            </w:r>
            <w:proofErr w:type="spellStart"/>
            <w:r w:rsidRPr="00EF4603">
              <w:rPr>
                <w:bCs/>
                <w:sz w:val="22"/>
                <w:szCs w:val="22"/>
              </w:rPr>
              <w:t>АПК_Инвест</w:t>
            </w:r>
            <w:proofErr w:type="spellEnd"/>
            <w:r w:rsidRPr="00EF4603">
              <w:rPr>
                <w:bCs/>
                <w:sz w:val="22"/>
                <w:szCs w:val="22"/>
              </w:rPr>
              <w:t>» и «</w:t>
            </w:r>
            <w:proofErr w:type="spellStart"/>
            <w:r w:rsidRPr="00EF4603">
              <w:rPr>
                <w:bCs/>
                <w:sz w:val="22"/>
                <w:szCs w:val="22"/>
              </w:rPr>
              <w:t>Микро_АПК</w:t>
            </w:r>
            <w:proofErr w:type="spellEnd"/>
            <w:r w:rsidRPr="00EF4603">
              <w:rPr>
                <w:bCs/>
                <w:sz w:val="22"/>
                <w:szCs w:val="22"/>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 xml:space="preserve">сторонними кредитными организациями № 376-П в рамках кредитных продуктов «Сезонный Растениеводство </w:t>
            </w:r>
            <w:proofErr w:type="spellStart"/>
            <w:r w:rsidRPr="006A4C5F">
              <w:rPr>
                <w:bCs/>
                <w:sz w:val="22"/>
                <w:szCs w:val="22"/>
              </w:rPr>
              <w:t>Рефинанс</w:t>
            </w:r>
            <w:proofErr w:type="spellEnd"/>
            <w:r w:rsidRPr="006A4C5F">
              <w:rPr>
                <w:bCs/>
                <w:sz w:val="22"/>
                <w:szCs w:val="22"/>
              </w:rPr>
              <w:t xml:space="preserve">», «Сезонный Животноводство </w:t>
            </w:r>
            <w:proofErr w:type="spellStart"/>
            <w:r w:rsidRPr="006A4C5F">
              <w:rPr>
                <w:bCs/>
                <w:sz w:val="22"/>
                <w:szCs w:val="22"/>
              </w:rPr>
              <w:t>Рефинанс</w:t>
            </w:r>
            <w:proofErr w:type="spellEnd"/>
            <w:r w:rsidRPr="006A4C5F">
              <w:rPr>
                <w:bCs/>
                <w:sz w:val="22"/>
                <w:szCs w:val="22"/>
              </w:rPr>
              <w:t xml:space="preserve">», «Сезонный Переработка </w:t>
            </w:r>
            <w:proofErr w:type="spellStart"/>
            <w:r w:rsidRPr="006A4C5F">
              <w:rPr>
                <w:bCs/>
                <w:sz w:val="22"/>
                <w:szCs w:val="22"/>
              </w:rPr>
              <w:t>Рефинанс</w:t>
            </w:r>
            <w:proofErr w:type="spellEnd"/>
            <w:r w:rsidRPr="006A4C5F">
              <w:rPr>
                <w:bCs/>
                <w:sz w:val="22"/>
                <w:szCs w:val="22"/>
              </w:rPr>
              <w:t xml:space="preserve">», «Оборотный-стандарт </w:t>
            </w:r>
            <w:proofErr w:type="spellStart"/>
            <w:r w:rsidRPr="006A4C5F">
              <w:rPr>
                <w:bCs/>
                <w:sz w:val="22"/>
                <w:szCs w:val="22"/>
              </w:rPr>
              <w:t>Рефинанс</w:t>
            </w:r>
            <w:proofErr w:type="spellEnd"/>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 xml:space="preserve">технологии </w:t>
            </w:r>
            <w:r w:rsidRPr="00E57313">
              <w:rPr>
                <w:rFonts w:eastAsia="Times New Roman"/>
                <w:sz w:val="22"/>
                <w:szCs w:val="22"/>
              </w:rPr>
              <w:lastRenderedPageBreak/>
              <w:t>«Кредитный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lastRenderedPageBreak/>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Изменение срока(-</w:t>
            </w:r>
            <w:proofErr w:type="spellStart"/>
            <w:r w:rsidRPr="00F25BBA">
              <w:rPr>
                <w:sz w:val="22"/>
                <w:szCs w:val="22"/>
                <w:lang w:eastAsia="ru-RU"/>
              </w:rPr>
              <w:t>ов</w:t>
            </w:r>
            <w:proofErr w:type="spellEnd"/>
            <w:r w:rsidRPr="00F25BBA">
              <w:rPr>
                <w:sz w:val="22"/>
                <w:szCs w:val="22"/>
                <w:lang w:eastAsia="ru-RU"/>
              </w:rPr>
              <w:t xml:space="preserve">)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w:t>
            </w:r>
            <w:proofErr w:type="spellStart"/>
            <w:r w:rsidRPr="00F25BBA">
              <w:rPr>
                <w:sz w:val="22"/>
                <w:szCs w:val="22"/>
                <w:lang w:eastAsia="ru-RU"/>
              </w:rPr>
              <w:t>ов</w:t>
            </w:r>
            <w:proofErr w:type="spellEnd"/>
            <w:r w:rsidRPr="00F25BBA">
              <w:rPr>
                <w:sz w:val="22"/>
                <w:szCs w:val="22"/>
                <w:lang w:eastAsia="ru-RU"/>
              </w:rPr>
              <w:t>)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w:t>
            </w:r>
            <w:r>
              <w:rPr>
                <w:sz w:val="22"/>
                <w:szCs w:val="22"/>
              </w:rPr>
              <w:lastRenderedPageBreak/>
              <w:t xml:space="preserve">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F25BBA" w:rsidRDefault="00744DE3"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При сумме, на которую начисляется комиссия:</w:t>
            </w:r>
          </w:p>
          <w:p w:rsidR="00744DE3" w:rsidRPr="00F25BBA" w:rsidRDefault="00744DE3"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744DE3" w:rsidRPr="00F25BBA" w:rsidRDefault="00744DE3"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744DE3" w:rsidRPr="00F25BBA" w:rsidRDefault="00744DE3"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BC559E" w:rsidRPr="00F25BBA" w:rsidRDefault="00744DE3" w:rsidP="00BC559E">
            <w:pPr>
              <w:jc w:val="center"/>
              <w:rPr>
                <w:sz w:val="22"/>
                <w:szCs w:val="22"/>
                <w:lang w:eastAsia="ru-RU"/>
              </w:rPr>
            </w:pPr>
            <w:r w:rsidRPr="00F25BBA">
              <w:rPr>
                <w:sz w:val="22"/>
                <w:szCs w:val="22"/>
                <w:lang w:eastAsia="ru-RU"/>
              </w:rPr>
              <w:t>от 100 000 000,01</w:t>
            </w:r>
          </w:p>
          <w:p w:rsidR="00744DE3" w:rsidRPr="00F25BBA" w:rsidRDefault="00744DE3"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sidR="00BC559E">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744DE3" w:rsidRPr="00782605" w:rsidRDefault="00744DE3"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w:t>
            </w:r>
            <w:proofErr w:type="spellStart"/>
            <w:r w:rsidRPr="00782605">
              <w:rPr>
                <w:sz w:val="20"/>
                <w:szCs w:val="20"/>
                <w:lang w:eastAsia="ru-RU"/>
              </w:rPr>
              <w:t>ий</w:t>
            </w:r>
            <w:proofErr w:type="spellEnd"/>
            <w:r w:rsidRPr="00782605">
              <w:rPr>
                <w:sz w:val="20"/>
                <w:szCs w:val="20"/>
                <w:lang w:eastAsia="ru-RU"/>
              </w:rPr>
              <w:t>) об изменении условий действующего кредитного договора (договора об открытии кредитной линии)</w:t>
            </w:r>
          </w:p>
          <w:p w:rsidR="00744DE3" w:rsidRPr="00782605" w:rsidRDefault="00744DE3" w:rsidP="00744DE3">
            <w:pPr>
              <w:rPr>
                <w:sz w:val="20"/>
                <w:szCs w:val="20"/>
                <w:lang w:eastAsia="ru-RU"/>
              </w:rPr>
            </w:pPr>
            <w:r w:rsidRPr="00782605">
              <w:rPr>
                <w:sz w:val="20"/>
                <w:szCs w:val="20"/>
                <w:lang w:eastAsia="ru-RU"/>
              </w:rPr>
              <w:t xml:space="preserve"> </w:t>
            </w: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744DE3" w:rsidRDefault="00744DE3"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w:t>
            </w:r>
            <w:proofErr w:type="spellStart"/>
            <w:r w:rsidRPr="00F25BBA">
              <w:rPr>
                <w:sz w:val="22"/>
                <w:szCs w:val="22"/>
                <w:lang w:eastAsia="ru-RU"/>
              </w:rPr>
              <w:t>ами</w:t>
            </w:r>
            <w:proofErr w:type="spellEnd"/>
            <w:r w:rsidRPr="00F25BBA">
              <w:rPr>
                <w:sz w:val="22"/>
                <w:szCs w:val="22"/>
                <w:lang w:eastAsia="ru-RU"/>
              </w:rPr>
              <w:t>), оставшимся(-</w:t>
            </w:r>
            <w:proofErr w:type="spellStart"/>
            <w:r w:rsidRPr="00F25BBA">
              <w:rPr>
                <w:sz w:val="22"/>
                <w:szCs w:val="22"/>
                <w:lang w:eastAsia="ru-RU"/>
              </w:rPr>
              <w:t>ися</w:t>
            </w:r>
            <w:proofErr w:type="spellEnd"/>
            <w:r w:rsidRPr="00F25BBA">
              <w:rPr>
                <w:sz w:val="22"/>
                <w:szCs w:val="22"/>
                <w:lang w:eastAsia="ru-RU"/>
              </w:rPr>
              <w:t>)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 xml:space="preserve">при рефинансировании (реструктурировании) за счет средств АО «МСП Банк» кредитов, предоставленных АО </w:t>
            </w:r>
            <w:r w:rsidRPr="00F25BBA">
              <w:rPr>
                <w:sz w:val="22"/>
                <w:szCs w:val="22"/>
                <w:lang w:eastAsia="ru-RU"/>
              </w:rPr>
              <w:lastRenderedPageBreak/>
              <w:t>«Россельхозбанк»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970539" w:rsidRPr="00D30BB3" w:rsidTr="00500F6C">
        <w:tc>
          <w:tcPr>
            <w:tcW w:w="1277" w:type="dxa"/>
            <w:vMerge w:val="restart"/>
            <w:tcBorders>
              <w:top w:val="single" w:sz="4" w:space="0" w:color="auto"/>
              <w:left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12.7.</w:t>
            </w: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Pr="00CD19A2" w:rsidRDefault="0097053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CD19A2" w:rsidRDefault="005A0923"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5A0923"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5A0923" w:rsidRPr="005A0923" w:rsidRDefault="005A0923"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Pr="00782605" w:rsidRDefault="00970539" w:rsidP="00744DE3">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p w:rsidR="00970539" w:rsidRPr="00CD19A2" w:rsidRDefault="0097053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66790B"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bookmarkStart w:id="23" w:name="_GoBack"/>
            <w:bookmarkEnd w:id="23"/>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bCs/>
                <w:sz w:val="22"/>
                <w:szCs w:val="22"/>
                <w:lang w:eastAsia="ru-RU"/>
              </w:rPr>
            </w:pPr>
            <w:r w:rsidRPr="00E433A9">
              <w:rPr>
                <w:sz w:val="22"/>
                <w:szCs w:val="22"/>
                <w:lang w:eastAsia="ru-RU"/>
              </w:rPr>
              <w:t xml:space="preserve">при рефинансировании (реструктурировании) за счет средств АО «МСП Банк» кредитов, предоставленных АО </w:t>
            </w:r>
            <w:r w:rsidRPr="00E433A9">
              <w:rPr>
                <w:sz w:val="22"/>
                <w:szCs w:val="22"/>
                <w:lang w:eastAsia="ru-RU"/>
              </w:rPr>
              <w:lastRenderedPageBreak/>
              <w:t>«Россельхозбанк»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w:t>
            </w:r>
            <w:proofErr w:type="spellStart"/>
            <w:r w:rsidRPr="000C1623">
              <w:rPr>
                <w:rFonts w:eastAsia="Times New Roman"/>
              </w:rPr>
              <w:t>Микро_АПК</w:t>
            </w:r>
            <w:proofErr w:type="spellEnd"/>
            <w:r w:rsidRPr="000C1623">
              <w:rPr>
                <w:rFonts w:eastAsia="Times New Roman"/>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970539" w:rsidRPr="00F259D9" w:rsidRDefault="00970539" w:rsidP="00744DE3">
            <w:pPr>
              <w:ind w:left="74"/>
              <w:jc w:val="center"/>
            </w:pPr>
            <w:r>
              <w:t>н</w:t>
            </w:r>
            <w:r w:rsidRPr="00F259D9">
              <w:t>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Pr>
                <w:bCs/>
                <w:sz w:val="22"/>
                <w:szCs w:val="22"/>
              </w:rPr>
              <w:t xml:space="preserve">- </w:t>
            </w:r>
            <w:r w:rsidRPr="00744DE3">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744DE3">
              <w:rPr>
                <w:bCs/>
                <w:sz w:val="22"/>
                <w:szCs w:val="22"/>
              </w:rPr>
              <w:t>Рефинанс</w:t>
            </w:r>
            <w:proofErr w:type="spellEnd"/>
            <w:r w:rsidRPr="00744DE3">
              <w:rPr>
                <w:bCs/>
                <w:sz w:val="22"/>
                <w:szCs w:val="22"/>
              </w:rPr>
              <w:t xml:space="preserve">», «Сезонный Животноводство </w:t>
            </w:r>
            <w:proofErr w:type="spellStart"/>
            <w:r w:rsidRPr="00744DE3">
              <w:rPr>
                <w:bCs/>
                <w:sz w:val="22"/>
                <w:szCs w:val="22"/>
              </w:rPr>
              <w:t>Рефинанс</w:t>
            </w:r>
            <w:proofErr w:type="spellEnd"/>
            <w:r w:rsidRPr="00744DE3">
              <w:rPr>
                <w:bCs/>
                <w:sz w:val="22"/>
                <w:szCs w:val="22"/>
              </w:rPr>
              <w:t xml:space="preserve">», «Сезонный Переработка </w:t>
            </w:r>
            <w:proofErr w:type="spellStart"/>
            <w:r w:rsidRPr="00744DE3">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sidRPr="00E57313">
              <w:rPr>
                <w:rFonts w:eastAsia="Times New Roman"/>
                <w:sz w:val="22"/>
                <w:szCs w:val="22"/>
              </w:rPr>
              <w:t xml:space="preserve">- при кредитовании в рамках Временного порядка предоставления кредитных продуктов клиентам </w:t>
            </w:r>
            <w:r w:rsidRPr="00E57313">
              <w:rPr>
                <w:rFonts w:eastAsia="Times New Roman"/>
                <w:sz w:val="22"/>
                <w:szCs w:val="22"/>
              </w:rPr>
              <w:lastRenderedPageBreak/>
              <w:t>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w:t>
            </w:r>
            <w:proofErr w:type="spellStart"/>
            <w:r w:rsidRPr="00915CA7">
              <w:rPr>
                <w:bCs/>
                <w:sz w:val="20"/>
                <w:szCs w:val="20"/>
              </w:rPr>
              <w:t>ий</w:t>
            </w:r>
            <w:proofErr w:type="spellEnd"/>
            <w:r w:rsidRPr="00915CA7">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lastRenderedPageBreak/>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w:t>
      </w:r>
      <w:proofErr w:type="spellStart"/>
      <w:r w:rsidRPr="00915CA7">
        <w:rPr>
          <w:sz w:val="20"/>
          <w:szCs w:val="20"/>
          <w:lang w:eastAsia="ru-RU"/>
        </w:rPr>
        <w:t>ов</w:t>
      </w:r>
      <w:proofErr w:type="spellEnd"/>
      <w:r w:rsidRPr="00915CA7">
        <w:rPr>
          <w:sz w:val="20"/>
          <w:szCs w:val="20"/>
          <w:lang w:eastAsia="ru-RU"/>
        </w:rPr>
        <w:t>) комиссии(-</w:t>
      </w:r>
      <w:proofErr w:type="spellStart"/>
      <w:r w:rsidRPr="00915CA7">
        <w:rPr>
          <w:sz w:val="20"/>
          <w:szCs w:val="20"/>
          <w:lang w:eastAsia="ru-RU"/>
        </w:rPr>
        <w:t>ий</w:t>
      </w:r>
      <w:proofErr w:type="spellEnd"/>
      <w:r w:rsidRPr="00915CA7">
        <w:rPr>
          <w:sz w:val="20"/>
          <w:szCs w:val="20"/>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proofErr w:type="spellStart"/>
            <w:r w:rsidRPr="00F25BBA">
              <w:rPr>
                <w:sz w:val="22"/>
                <w:szCs w:val="22"/>
                <w:lang w:val="en-US" w:eastAsia="ru-RU"/>
              </w:rPr>
              <w:t>UnionPay</w:t>
            </w:r>
            <w:proofErr w:type="spellEnd"/>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proofErr w:type="spellStart"/>
            <w:r w:rsidRPr="00F25BBA">
              <w:rPr>
                <w:sz w:val="22"/>
                <w:szCs w:val="22"/>
                <w:lang w:val="en-US" w:eastAsia="ru-RU"/>
              </w:rPr>
              <w:t>UnionPay</w:t>
            </w:r>
            <w:proofErr w:type="spellEnd"/>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 xml:space="preserve">VISA и </w:t>
            </w:r>
            <w:proofErr w:type="spellStart"/>
            <w:r w:rsidRPr="00F25BBA">
              <w:rPr>
                <w:sz w:val="22"/>
                <w:szCs w:val="22"/>
                <w:lang w:eastAsia="ru-RU"/>
              </w:rPr>
              <w:t>MasterCard</w:t>
            </w:r>
            <w:proofErr w:type="spellEnd"/>
            <w:r w:rsidRPr="00F25BBA">
              <w:rPr>
                <w:sz w:val="22"/>
                <w:szCs w:val="22"/>
                <w:lang w:eastAsia="ru-RU"/>
              </w:rPr>
              <w:t xml:space="preserve">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proofErr w:type="spellStart"/>
            <w:r w:rsidR="00C85FF1">
              <w:rPr>
                <w:sz w:val="22"/>
                <w:szCs w:val="22"/>
                <w:lang w:val="en-US"/>
              </w:rPr>
              <w:t>UnionPay</w:t>
            </w:r>
            <w:proofErr w:type="spellEnd"/>
            <w:r w:rsidR="00C85FF1">
              <w:rPr>
                <w:sz w:val="22"/>
                <w:szCs w:val="22"/>
              </w:rPr>
              <w:t xml:space="preserve">, </w:t>
            </w:r>
            <w:r w:rsidRPr="00DB2D0C">
              <w:rPr>
                <w:sz w:val="22"/>
                <w:szCs w:val="22"/>
              </w:rPr>
              <w:t xml:space="preserve">JCB, </w:t>
            </w:r>
            <w:proofErr w:type="spellStart"/>
            <w:r w:rsidRPr="00DB2D0C">
              <w:rPr>
                <w:sz w:val="22"/>
                <w:szCs w:val="22"/>
              </w:rPr>
              <w:t>American</w:t>
            </w:r>
            <w:proofErr w:type="spellEnd"/>
            <w:r w:rsidRPr="00DB2D0C">
              <w:rPr>
                <w:sz w:val="22"/>
                <w:szCs w:val="22"/>
              </w:rPr>
              <w:t xml:space="preserve"> </w:t>
            </w:r>
            <w:proofErr w:type="spellStart"/>
            <w:r w:rsidRPr="00DB2D0C">
              <w:rPr>
                <w:sz w:val="22"/>
                <w:szCs w:val="22"/>
              </w:rPr>
              <w:t>Express</w:t>
            </w:r>
            <w:proofErr w:type="spellEnd"/>
            <w:r w:rsidRPr="00DB2D0C">
              <w:rPr>
                <w:sz w:val="22"/>
                <w:szCs w:val="22"/>
              </w:rPr>
              <w:t xml:space="preserve">, VISA и </w:t>
            </w:r>
            <w:proofErr w:type="spellStart"/>
            <w:r w:rsidRPr="00DB2D0C">
              <w:rPr>
                <w:sz w:val="22"/>
                <w:szCs w:val="22"/>
              </w:rPr>
              <w:t>Master</w:t>
            </w:r>
            <w:proofErr w:type="spellEnd"/>
            <w:r w:rsidRPr="00DB2D0C">
              <w:rPr>
                <w:sz w:val="22"/>
                <w:szCs w:val="22"/>
                <w:lang w:val="en-US"/>
              </w:rPr>
              <w:t>c</w:t>
            </w:r>
            <w:proofErr w:type="spellStart"/>
            <w:r w:rsidRPr="00DB2D0C">
              <w:rPr>
                <w:sz w:val="22"/>
                <w:szCs w:val="22"/>
              </w:rPr>
              <w:t>ard</w:t>
            </w:r>
            <w:proofErr w:type="spellEnd"/>
            <w:r w:rsidRPr="00DB2D0C">
              <w:rPr>
                <w:sz w:val="22"/>
                <w:szCs w:val="22"/>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proofErr w:type="spellStart"/>
            <w:r w:rsidR="00C85FF1">
              <w:rPr>
                <w:sz w:val="22"/>
                <w:szCs w:val="22"/>
                <w:lang w:val="en-US"/>
              </w:rPr>
              <w:t>UnionPay</w:t>
            </w:r>
            <w:proofErr w:type="spellEnd"/>
            <w:r w:rsidR="00C85FF1">
              <w:rPr>
                <w:sz w:val="22"/>
                <w:szCs w:val="22"/>
              </w:rPr>
              <w:t xml:space="preserve">, </w:t>
            </w:r>
            <w:r w:rsidRPr="00DB2D0C">
              <w:rPr>
                <w:sz w:val="22"/>
                <w:szCs w:val="22"/>
              </w:rPr>
              <w:t xml:space="preserve">JCB, VISA и </w:t>
            </w:r>
            <w:proofErr w:type="spellStart"/>
            <w:r w:rsidRPr="00DB2D0C">
              <w:rPr>
                <w:sz w:val="22"/>
                <w:szCs w:val="22"/>
              </w:rPr>
              <w:t>Master</w:t>
            </w:r>
            <w:proofErr w:type="spellEnd"/>
            <w:r w:rsidRPr="00DB2D0C">
              <w:rPr>
                <w:sz w:val="22"/>
                <w:szCs w:val="22"/>
                <w:lang w:val="en-US"/>
              </w:rPr>
              <w:t>c</w:t>
            </w:r>
            <w:proofErr w:type="spellStart"/>
            <w:r w:rsidRPr="00DB2D0C">
              <w:rPr>
                <w:sz w:val="22"/>
                <w:szCs w:val="22"/>
              </w:rPr>
              <w:t>ard</w:t>
            </w:r>
            <w:proofErr w:type="spellEnd"/>
            <w:r w:rsidRPr="00DB2D0C">
              <w:rPr>
                <w:sz w:val="22"/>
                <w:szCs w:val="22"/>
              </w:rPr>
              <w:t xml:space="preserve">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w:t>
            </w:r>
            <w:r w:rsidRPr="008A205F">
              <w:rPr>
                <w:sz w:val="22"/>
                <w:szCs w:val="22"/>
              </w:rPr>
              <w:lastRenderedPageBreak/>
              <w:t>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 xml:space="preserve">0,40% от суммы операции, но не более </w:t>
            </w:r>
            <w:r w:rsidRPr="008A205F">
              <w:rPr>
                <w:sz w:val="22"/>
                <w:szCs w:val="22"/>
              </w:rPr>
              <w:lastRenderedPageBreak/>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r>
            <w:proofErr w:type="spellStart"/>
            <w:r w:rsidRPr="008A205F">
              <w:rPr>
                <w:sz w:val="22"/>
                <w:szCs w:val="22"/>
              </w:rPr>
              <w:t>п.п</w:t>
            </w:r>
            <w:proofErr w:type="spellEnd"/>
            <w:r w:rsidRPr="008A205F">
              <w:rPr>
                <w:sz w:val="22"/>
                <w:szCs w:val="22"/>
              </w:rPr>
              <w:t>.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A74E14" w:rsidRPr="00A74E14">
        <w:rPr>
          <w:sz w:val="22"/>
          <w:szCs w:val="22"/>
        </w:rPr>
        <w:t>эквайринга</w:t>
      </w:r>
      <w:proofErr w:type="spellEnd"/>
      <w:r w:rsidR="00A74E14" w:rsidRPr="00A74E14">
        <w:rPr>
          <w:sz w:val="22"/>
          <w:szCs w:val="22"/>
        </w:rPr>
        <w:t xml:space="preserve">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w:t>
            </w:r>
            <w:proofErr w:type="spellStart"/>
            <w:r w:rsidRPr="00F25BBA">
              <w:rPr>
                <w:sz w:val="22"/>
                <w:szCs w:val="22"/>
                <w:lang w:eastAsia="ru-RU"/>
              </w:rPr>
              <w:t>междепозитарном</w:t>
            </w:r>
            <w:proofErr w:type="spellEnd"/>
            <w:r w:rsidRPr="00F25BBA">
              <w:rPr>
                <w:sz w:val="22"/>
                <w:szCs w:val="22"/>
                <w:lang w:eastAsia="ru-RU"/>
              </w:rPr>
              <w:t xml:space="preserve">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w:t>
            </w:r>
            <w:r w:rsidRPr="00F25BBA">
              <w:rPr>
                <w:sz w:val="22"/>
                <w:szCs w:val="22"/>
              </w:rPr>
              <w:lastRenderedPageBreak/>
              <w:t xml:space="preserve">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lastRenderedPageBreak/>
              <w:t xml:space="preserve">Акций (депозитарных </w:t>
            </w:r>
            <w:r>
              <w:rPr>
                <w:sz w:val="22"/>
                <w:szCs w:val="22"/>
              </w:rPr>
              <w:lastRenderedPageBreak/>
              <w:t>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 xml:space="preserve">Рассчитывается ежеквартально от </w:t>
            </w:r>
            <w:r w:rsidRPr="000B1559">
              <w:rPr>
                <w:sz w:val="20"/>
                <w:szCs w:val="20"/>
              </w:rPr>
              <w:lastRenderedPageBreak/>
              <w:t>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lastRenderedPageBreak/>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lastRenderedPageBreak/>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lastRenderedPageBreak/>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w:t>
            </w:r>
            <w:r w:rsidRPr="00CF28FC">
              <w:rPr>
                <w:bCs/>
                <w:color w:val="auto"/>
                <w:sz w:val="22"/>
                <w:szCs w:val="22"/>
              </w:rPr>
              <w:lastRenderedPageBreak/>
              <w:t xml:space="preserve">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lastRenderedPageBreak/>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 xml:space="preserve">Рассчитывается ежеквартально от </w:t>
            </w:r>
            <w:r w:rsidRPr="0039601A">
              <w:rPr>
                <w:bCs/>
                <w:color w:val="auto"/>
                <w:sz w:val="20"/>
                <w:szCs w:val="20"/>
              </w:rPr>
              <w:lastRenderedPageBreak/>
              <w:t>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lastRenderedPageBreak/>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сертификатов </w:t>
            </w:r>
            <w:proofErr w:type="spellStart"/>
            <w:r w:rsidRPr="00F25BBA">
              <w:rPr>
                <w:sz w:val="22"/>
                <w:szCs w:val="22"/>
                <w:lang w:eastAsia="ru-RU"/>
              </w:rPr>
              <w:t>эмис</w:t>
            </w:r>
            <w:proofErr w:type="spellEnd"/>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 xml:space="preserve">Выдача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 xml:space="preserve">Зачисление ценных бумаг на счета АО «Россельхозбанк» в реестрах/на </w:t>
            </w:r>
            <w:proofErr w:type="spellStart"/>
            <w:r w:rsidRPr="005A2E38">
              <w:rPr>
                <w:sz w:val="22"/>
                <w:szCs w:val="22"/>
                <w:lang w:eastAsia="ru-RU"/>
              </w:rPr>
              <w:t>междепозитарные</w:t>
            </w:r>
            <w:proofErr w:type="spellEnd"/>
            <w:r w:rsidRPr="005A2E38">
              <w:rPr>
                <w:sz w:val="22"/>
                <w:szCs w:val="22"/>
                <w:lang w:eastAsia="ru-RU"/>
              </w:rPr>
              <w:t xml:space="preserve">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w:t>
            </w:r>
            <w:proofErr w:type="spellStart"/>
            <w:r w:rsidRPr="00F25BBA">
              <w:rPr>
                <w:sz w:val="22"/>
                <w:szCs w:val="22"/>
                <w:lang w:eastAsia="ru-RU"/>
              </w:rPr>
              <w:t>междепозитарных</w:t>
            </w:r>
            <w:proofErr w:type="spellEnd"/>
            <w:r w:rsidRPr="00F25BBA">
              <w:rPr>
                <w:sz w:val="22"/>
                <w:szCs w:val="22"/>
                <w:lang w:eastAsia="ru-RU"/>
              </w:rPr>
              <w:t xml:space="preserve">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Переводы ценных бумаг по операциям купли-продажи ценных бумаг, </w:t>
            </w:r>
            <w:r w:rsidRPr="00F25BBA">
              <w:rPr>
                <w:sz w:val="22"/>
                <w:szCs w:val="22"/>
                <w:lang w:eastAsia="ru-RU"/>
              </w:rPr>
              <w:lastRenderedPageBreak/>
              <w:t>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lastRenderedPageBreak/>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w:t>
            </w:r>
            <w:proofErr w:type="spellStart"/>
            <w:r w:rsidRPr="00F25BBA">
              <w:rPr>
                <w:sz w:val="22"/>
                <w:szCs w:val="22"/>
                <w:lang w:eastAsia="ru-RU"/>
              </w:rPr>
              <w:t>анциркулейтед</w:t>
            </w:r>
            <w:proofErr w:type="spellEnd"/>
            <w:r w:rsidRPr="00F25BBA">
              <w:rPr>
                <w:sz w:val="22"/>
                <w:szCs w:val="22"/>
                <w:lang w:eastAsia="ru-RU"/>
              </w:rPr>
              <w:t>»,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w:t>
            </w:r>
            <w:proofErr w:type="spellStart"/>
            <w:r w:rsidRPr="00F25BBA">
              <w:rPr>
                <w:sz w:val="22"/>
                <w:szCs w:val="22"/>
                <w:lang w:eastAsia="ru-RU"/>
              </w:rPr>
              <w:t>анциркулейтед</w:t>
            </w:r>
            <w:proofErr w:type="spellEnd"/>
            <w:r w:rsidRPr="00F25BBA">
              <w:rPr>
                <w:sz w:val="22"/>
                <w:szCs w:val="22"/>
                <w:lang w:eastAsia="ru-RU"/>
              </w:rPr>
              <w:t>»,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A71DC3">
              <w:rPr>
                <w:rFonts w:ascii="Times New Roman" w:hAnsi="Times New Roman" w:cs="Times New Roman"/>
                <w:b w:val="0"/>
                <w:bCs w:val="0"/>
                <w:i w:val="0"/>
                <w:iCs w:val="0"/>
                <w:smallCaps w:val="0"/>
                <w:sz w:val="22"/>
                <w:szCs w:val="22"/>
              </w:rPr>
              <w:t>Good</w:t>
            </w:r>
            <w:proofErr w:type="spellEnd"/>
            <w:r w:rsidRPr="00A71DC3">
              <w:rPr>
                <w:rFonts w:ascii="Times New Roman" w:hAnsi="Times New Roman" w:cs="Times New Roman"/>
                <w:b w:val="0"/>
                <w:bCs w:val="0"/>
                <w:i w:val="0"/>
                <w:iCs w:val="0"/>
                <w:smallCaps w:val="0"/>
                <w:sz w:val="22"/>
                <w:szCs w:val="22"/>
              </w:rPr>
              <w:t xml:space="preserve"> </w:t>
            </w:r>
            <w:proofErr w:type="spellStart"/>
            <w:r w:rsidRPr="00A71DC3">
              <w:rPr>
                <w:rFonts w:ascii="Times New Roman" w:hAnsi="Times New Roman" w:cs="Times New Roman"/>
                <w:b w:val="0"/>
                <w:bCs w:val="0"/>
                <w:i w:val="0"/>
                <w:iCs w:val="0"/>
                <w:smallCaps w:val="0"/>
                <w:sz w:val="22"/>
                <w:szCs w:val="22"/>
              </w:rPr>
              <w:t>Delivery</w:t>
            </w:r>
            <w:proofErr w:type="spellEnd"/>
            <w:r w:rsidRPr="00A71DC3">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lastRenderedPageBreak/>
        <w:t>** Здесь и далее стандартные слитки, изготовленные аффинажной организацией, соответствующей стандартам «</w:t>
      </w:r>
      <w:proofErr w:type="spellStart"/>
      <w:r w:rsidRPr="00172C55">
        <w:t>Good</w:t>
      </w:r>
      <w:proofErr w:type="spellEnd"/>
      <w:r w:rsidRPr="00172C55">
        <w:t xml:space="preserve"> </w:t>
      </w:r>
      <w:proofErr w:type="spellStart"/>
      <w:r w:rsidRPr="00172C55">
        <w:t>Delivery</w:t>
      </w:r>
      <w:proofErr w:type="spellEnd"/>
      <w:r w:rsidRPr="00172C55">
        <w:t>», должна быть включена в специальный список («</w:t>
      </w:r>
      <w:proofErr w:type="spellStart"/>
      <w:r w:rsidRPr="00172C55">
        <w:t>Good</w:t>
      </w:r>
      <w:proofErr w:type="spellEnd"/>
      <w:r w:rsidRPr="00172C55">
        <w:t xml:space="preserve"> </w:t>
      </w:r>
      <w:proofErr w:type="spellStart"/>
      <w:r w:rsidRPr="00172C55">
        <w:t>Delivery</w:t>
      </w:r>
      <w:proofErr w:type="spellEnd"/>
      <w:r w:rsidRPr="00172C55">
        <w:t xml:space="preserve"> </w:t>
      </w:r>
      <w:proofErr w:type="spellStart"/>
      <w:r w:rsidRPr="00172C55">
        <w:t>List</w:t>
      </w:r>
      <w:proofErr w:type="spellEnd"/>
      <w:r w:rsidRPr="00172C55">
        <w:t>», GDL) Лондонской Ассоциации Участников Рынка драгоценных металлов («</w:t>
      </w:r>
      <w:proofErr w:type="spellStart"/>
      <w:r w:rsidRPr="00172C55">
        <w:t>London</w:t>
      </w:r>
      <w:proofErr w:type="spellEnd"/>
      <w:r w:rsidRPr="00172C55">
        <w:t xml:space="preserve"> </w:t>
      </w:r>
      <w:proofErr w:type="spellStart"/>
      <w:r w:rsidRPr="00172C55">
        <w:t>Bullion</w:t>
      </w:r>
      <w:proofErr w:type="spellEnd"/>
      <w:r w:rsidRPr="00172C55">
        <w:t xml:space="preserve"> </w:t>
      </w:r>
      <w:proofErr w:type="spellStart"/>
      <w:r w:rsidRPr="00172C55">
        <w:t>Market</w:t>
      </w:r>
      <w:proofErr w:type="spellEnd"/>
      <w:r w:rsidRPr="00172C55">
        <w:t xml:space="preserve"> </w:t>
      </w:r>
      <w:proofErr w:type="spellStart"/>
      <w:r w:rsidRPr="00172C55">
        <w:t>Association</w:t>
      </w:r>
      <w:proofErr w:type="spellEnd"/>
      <w:r w:rsidRPr="00172C55">
        <w:t xml:space="preserve">»,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lastRenderedPageBreak/>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 xml:space="preserve">Формирование комплекта ключей электронной подписи и получение </w:t>
            </w:r>
            <w:r w:rsidRPr="002D219F">
              <w:rPr>
                <w:bCs/>
                <w:sz w:val="22"/>
                <w:szCs w:val="22"/>
              </w:rPr>
              <w:lastRenderedPageBreak/>
              <w:t>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32" w:rsidRDefault="004A4F32" w:rsidP="00665A91">
      <w:r>
        <w:separator/>
      </w:r>
    </w:p>
  </w:endnote>
  <w:endnote w:type="continuationSeparator" w:id="0">
    <w:p w:rsidR="004A4F32" w:rsidRDefault="004A4F32"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32" w:rsidRDefault="004A4F32" w:rsidP="00665A91">
      <w:r>
        <w:separator/>
      </w:r>
    </w:p>
  </w:footnote>
  <w:footnote w:type="continuationSeparator" w:id="0">
    <w:p w:rsidR="004A4F32" w:rsidRDefault="004A4F32" w:rsidP="00665A91">
      <w:r>
        <w:continuationSeparator/>
      </w:r>
    </w:p>
  </w:footnote>
  <w:footnote w:id="1">
    <w:p w:rsidR="003675C7" w:rsidRDefault="003675C7"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675C7" w:rsidRDefault="003675C7" w:rsidP="005A0923">
      <w:pPr>
        <w:pStyle w:val="a7"/>
        <w:jc w:val="both"/>
      </w:pPr>
      <w:r>
        <w:rPr>
          <w:rStyle w:val="a6"/>
        </w:rPr>
        <w:footnoteRef/>
      </w:r>
      <w:r>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3675C7" w:rsidRDefault="003675C7" w:rsidP="005A0923">
      <w:pPr>
        <w:pStyle w:val="a7"/>
      </w:pPr>
      <w:r>
        <w:rPr>
          <w:rStyle w:val="a6"/>
        </w:rPr>
        <w:footnoteRef/>
      </w:r>
      <w:r>
        <w:t xml:space="preserve"> </w:t>
      </w:r>
      <w:r>
        <w:t>В соответствии с пунктом 11 приказа АО «Россельхозбанк» от 01.08.2013 № 386-ОД.</w:t>
      </w:r>
    </w:p>
  </w:footnote>
  <w:footnote w:id="4">
    <w:p w:rsidR="003675C7" w:rsidRPr="007370BD" w:rsidRDefault="003675C7"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3675C7" w:rsidRPr="002D39DC" w:rsidRDefault="003675C7" w:rsidP="00A71DC3">
      <w:pPr>
        <w:pStyle w:val="a7"/>
      </w:pPr>
      <w:r w:rsidRPr="002D39DC">
        <w:rPr>
          <w:rStyle w:val="a6"/>
          <w:sz w:val="18"/>
          <w:szCs w:val="18"/>
        </w:rPr>
        <w:footnoteRef/>
      </w:r>
      <w:r w:rsidRPr="002D39DC">
        <w:t xml:space="preserve"> </w:t>
      </w:r>
      <w:r w:rsidRPr="002D39DC">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3675C7" w:rsidRPr="00A77997" w:rsidRDefault="003675C7"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3675C7" w:rsidRPr="002D690C" w:rsidRDefault="003675C7"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8"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1"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11"/>
  </w:num>
  <w:num w:numId="5">
    <w:abstractNumId w:val="15"/>
  </w:num>
  <w:num w:numId="6">
    <w:abstractNumId w:val="2"/>
  </w:num>
  <w:num w:numId="7">
    <w:abstractNumId w:val="13"/>
  </w:num>
  <w:num w:numId="8">
    <w:abstractNumId w:val="14"/>
  </w:num>
  <w:num w:numId="9">
    <w:abstractNumId w:val="30"/>
  </w:num>
  <w:num w:numId="10">
    <w:abstractNumId w:val="24"/>
  </w:num>
  <w:num w:numId="11">
    <w:abstractNumId w:val="10"/>
  </w:num>
  <w:num w:numId="12">
    <w:abstractNumId w:val="34"/>
  </w:num>
  <w:num w:numId="13">
    <w:abstractNumId w:val="17"/>
  </w:num>
  <w:num w:numId="14">
    <w:abstractNumId w:val="42"/>
  </w:num>
  <w:num w:numId="15">
    <w:abstractNumId w:val="32"/>
  </w:num>
  <w:num w:numId="16">
    <w:abstractNumId w:val="22"/>
  </w:num>
  <w:num w:numId="17">
    <w:abstractNumId w:val="35"/>
  </w:num>
  <w:num w:numId="18">
    <w:abstractNumId w:val="23"/>
  </w:num>
  <w:num w:numId="19">
    <w:abstractNumId w:val="31"/>
  </w:num>
  <w:num w:numId="20">
    <w:abstractNumId w:val="8"/>
  </w:num>
  <w:num w:numId="21">
    <w:abstractNumId w:val="1"/>
  </w:num>
  <w:num w:numId="22">
    <w:abstractNumId w:val="9"/>
  </w:num>
  <w:num w:numId="23">
    <w:abstractNumId w:val="28"/>
  </w:num>
  <w:num w:numId="24">
    <w:abstractNumId w:val="12"/>
  </w:num>
  <w:num w:numId="25">
    <w:abstractNumId w:val="19"/>
  </w:num>
  <w:num w:numId="26">
    <w:abstractNumId w:val="33"/>
  </w:num>
  <w:num w:numId="27">
    <w:abstractNumId w:val="25"/>
  </w:num>
  <w:num w:numId="28">
    <w:abstractNumId w:val="21"/>
  </w:num>
  <w:num w:numId="29">
    <w:abstractNumId w:val="0"/>
  </w:num>
  <w:num w:numId="30">
    <w:abstractNumId w:val="36"/>
  </w:num>
  <w:num w:numId="31">
    <w:abstractNumId w:val="16"/>
  </w:num>
  <w:num w:numId="32">
    <w:abstractNumId w:val="27"/>
  </w:num>
  <w:num w:numId="33">
    <w:abstractNumId w:val="43"/>
  </w:num>
  <w:num w:numId="34">
    <w:abstractNumId w:val="41"/>
  </w:num>
  <w:num w:numId="35">
    <w:abstractNumId w:val="26"/>
  </w:num>
  <w:num w:numId="36">
    <w:abstractNumId w:val="40"/>
  </w:num>
  <w:num w:numId="37">
    <w:abstractNumId w:val="7"/>
  </w:num>
  <w:num w:numId="38">
    <w:abstractNumId w:val="39"/>
  </w:num>
  <w:num w:numId="39">
    <w:abstractNumId w:val="5"/>
  </w:num>
  <w:num w:numId="40">
    <w:abstractNumId w:val="3"/>
  </w:num>
  <w:num w:numId="41">
    <w:abstractNumId w:val="6"/>
  </w:num>
  <w:num w:numId="42">
    <w:abstractNumId w:val="38"/>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53482"/>
    <w:rsid w:val="00056EC2"/>
    <w:rsid w:val="00073C73"/>
    <w:rsid w:val="00082D89"/>
    <w:rsid w:val="000A77D3"/>
    <w:rsid w:val="000B1559"/>
    <w:rsid w:val="000B456B"/>
    <w:rsid w:val="000C2EC1"/>
    <w:rsid w:val="000E4A2A"/>
    <w:rsid w:val="000F45E9"/>
    <w:rsid w:val="00102B7A"/>
    <w:rsid w:val="00104E22"/>
    <w:rsid w:val="00131699"/>
    <w:rsid w:val="00143722"/>
    <w:rsid w:val="00162904"/>
    <w:rsid w:val="00165E49"/>
    <w:rsid w:val="00167FF0"/>
    <w:rsid w:val="00172C55"/>
    <w:rsid w:val="0017386A"/>
    <w:rsid w:val="00183132"/>
    <w:rsid w:val="00187D58"/>
    <w:rsid w:val="00191988"/>
    <w:rsid w:val="001A2896"/>
    <w:rsid w:val="001A4DEF"/>
    <w:rsid w:val="001A5BAD"/>
    <w:rsid w:val="001B0FEB"/>
    <w:rsid w:val="001B2204"/>
    <w:rsid w:val="001B30DC"/>
    <w:rsid w:val="001B3C2E"/>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D49"/>
    <w:rsid w:val="003E402D"/>
    <w:rsid w:val="003E43CD"/>
    <w:rsid w:val="003F0E21"/>
    <w:rsid w:val="00403B10"/>
    <w:rsid w:val="004065F7"/>
    <w:rsid w:val="004352F7"/>
    <w:rsid w:val="004361E9"/>
    <w:rsid w:val="00446199"/>
    <w:rsid w:val="00453778"/>
    <w:rsid w:val="00455D43"/>
    <w:rsid w:val="004666A5"/>
    <w:rsid w:val="00466A60"/>
    <w:rsid w:val="00485EBC"/>
    <w:rsid w:val="004A4B0B"/>
    <w:rsid w:val="004A4F32"/>
    <w:rsid w:val="004A7DB3"/>
    <w:rsid w:val="004B564D"/>
    <w:rsid w:val="004C02E2"/>
    <w:rsid w:val="004D6C8E"/>
    <w:rsid w:val="004F7A9C"/>
    <w:rsid w:val="00500F6C"/>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7853"/>
    <w:rsid w:val="0077683B"/>
    <w:rsid w:val="00782605"/>
    <w:rsid w:val="007908C9"/>
    <w:rsid w:val="00794CCC"/>
    <w:rsid w:val="007957D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47180"/>
    <w:rsid w:val="00951C41"/>
    <w:rsid w:val="009669FA"/>
    <w:rsid w:val="00970539"/>
    <w:rsid w:val="009A20BF"/>
    <w:rsid w:val="009B5632"/>
    <w:rsid w:val="009D3CC8"/>
    <w:rsid w:val="009E743D"/>
    <w:rsid w:val="00A03E99"/>
    <w:rsid w:val="00A20944"/>
    <w:rsid w:val="00A25C58"/>
    <w:rsid w:val="00A434DF"/>
    <w:rsid w:val="00A55D59"/>
    <w:rsid w:val="00A62121"/>
    <w:rsid w:val="00A66D38"/>
    <w:rsid w:val="00A677FA"/>
    <w:rsid w:val="00A71DC3"/>
    <w:rsid w:val="00A729B7"/>
    <w:rsid w:val="00A74E14"/>
    <w:rsid w:val="00A8127C"/>
    <w:rsid w:val="00AB6462"/>
    <w:rsid w:val="00AD3757"/>
    <w:rsid w:val="00AE5EB7"/>
    <w:rsid w:val="00B02611"/>
    <w:rsid w:val="00B237C7"/>
    <w:rsid w:val="00B23C1D"/>
    <w:rsid w:val="00B24BAE"/>
    <w:rsid w:val="00B26067"/>
    <w:rsid w:val="00B44A38"/>
    <w:rsid w:val="00B4680D"/>
    <w:rsid w:val="00B53130"/>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722A"/>
    <w:rsid w:val="00C24539"/>
    <w:rsid w:val="00C3542A"/>
    <w:rsid w:val="00C44DBC"/>
    <w:rsid w:val="00C45D04"/>
    <w:rsid w:val="00C55F8E"/>
    <w:rsid w:val="00C6055D"/>
    <w:rsid w:val="00C612D7"/>
    <w:rsid w:val="00C6282A"/>
    <w:rsid w:val="00C752A8"/>
    <w:rsid w:val="00C85FF1"/>
    <w:rsid w:val="00C8613B"/>
    <w:rsid w:val="00CA7AD7"/>
    <w:rsid w:val="00CB220C"/>
    <w:rsid w:val="00CB548C"/>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7601"/>
    <w:rsid w:val="00E0057B"/>
    <w:rsid w:val="00E06D6F"/>
    <w:rsid w:val="00E0704C"/>
    <w:rsid w:val="00E1562B"/>
    <w:rsid w:val="00E1791B"/>
    <w:rsid w:val="00E272E9"/>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D652"/>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4150-1B36-4CA0-A4ED-31D14F62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72</Pages>
  <Words>21790</Words>
  <Characters>124204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73</cp:revision>
  <dcterms:created xsi:type="dcterms:W3CDTF">2021-07-14T09:24:00Z</dcterms:created>
  <dcterms:modified xsi:type="dcterms:W3CDTF">2022-05-04T02:41:00Z</dcterms:modified>
</cp:coreProperties>
</file>