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suppressLineNumbers w:val="0"/>
        <w:spacing w:after="0" w:afterAutospacing="0" w:line="240" w:lineRule="auto"/>
        <w:ind w:left="0" w:right="-1" w:firstLine="5811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Приложение 5</w:t>
      </w: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widowControl w:val="off"/>
        <w:ind w:left="0" w:right="-1" w:firstLine="581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к протоколу заседания Комитета по развитию </w:t>
      </w:r>
      <w:r>
        <w:rPr>
          <w:bCs/>
          <w:i/>
        </w:rPr>
      </w:r>
    </w:p>
    <w:p>
      <w:pPr>
        <w:widowControl w:val="off"/>
        <w:ind w:left="0" w:right="-1" w:firstLine="5811"/>
        <w:rPr>
          <w:bCs/>
          <w:i/>
        </w:rPr>
      </w:pP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розничного бизнеса от</w:t>
      </w: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 21.03.2025</w:t>
      </w: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 №18</w:t>
      </w:r>
      <w:r>
        <w:rPr>
          <w:bCs/>
          <w:i/>
        </w:rPr>
      </w:r>
    </w:p>
    <w:p>
      <w:pPr>
        <w:spacing w:line="276" w:lineRule="auto"/>
        <w:ind w:left="0" w:right="-1" w:firstLine="510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spacing w:line="276" w:lineRule="auto"/>
        <w:jc w:val="center"/>
        <w:rPr>
          <w:b/>
        </w:rPr>
      </w:pPr>
      <w:r>
        <w:rPr>
          <w:b/>
        </w:rPr>
        <w:t xml:space="preserve">Правила проведения акции</w:t>
      </w:r>
      <w:r>
        <w:rPr>
          <w:b/>
        </w:rPr>
      </w:r>
      <w:r>
        <w:rPr>
          <w:b/>
        </w:rPr>
      </w:r>
    </w:p>
    <w:p>
      <w:pPr>
        <w:spacing w:line="276" w:lineRule="auto"/>
        <w:jc w:val="center"/>
        <w:rPr>
          <w:b/>
        </w:rPr>
      </w:pPr>
      <w:r>
        <w:rPr>
          <w:b/>
          <w:bCs/>
          <w:iCs/>
        </w:rPr>
        <w:t xml:space="preserve">«Специальные условия пролонгации Пакета услуг» (далее – Правила)</w:t>
      </w:r>
      <w:r>
        <w:rPr>
          <w:b/>
        </w:rPr>
      </w:r>
      <w:r>
        <w:rPr>
          <w:b/>
        </w:rPr>
      </w:r>
    </w:p>
    <w:p>
      <w:pPr>
        <w:tabs>
          <w:tab w:val="left" w:pos="567" w:leader="none"/>
        </w:tabs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</w:r>
      <w:r>
        <w:rPr>
          <w:b/>
          <w:u w:val="single"/>
        </w:rPr>
      </w:r>
      <w:r>
        <w:rPr>
          <w:b/>
          <w:u w:val="single"/>
        </w:rPr>
      </w:r>
    </w:p>
    <w:p>
      <w:pPr>
        <w:numPr>
          <w:numId w:val="3"/>
          <w:ilvl w:val="0"/>
        </w:numPr>
        <w:tabs>
          <w:tab w:val="left" w:pos="284" w:leader="none"/>
          <w:tab w:val="left" w:pos="709" w:leader="none"/>
          <w:tab w:val="left" w:pos="850" w:leader="none"/>
          <w:tab w:val="left" w:pos="1134" w:leader="none"/>
        </w:tabs>
        <w:spacing w:line="276" w:lineRule="auto"/>
        <w:ind w:left="0" w:firstLine="850"/>
        <w:contextualSpacing/>
        <w:jc w:val="both"/>
      </w:pPr>
      <w:r>
        <w:rPr>
          <w:bCs/>
          <w:color w:val="000000"/>
        </w:rPr>
        <w:t xml:space="preserve">В целях удержания действующих клиентов, находящихся на обслуживании в </w:t>
      </w:r>
      <w:r>
        <w:t xml:space="preserve">рамках Пакета услуг в АО «Россельхозбанк» (далее - Банк), и активному использованию продуктов и услуг, входящих в Пакет услуг «Ультра», Банк проводит акцию «</w:t>
      </w:r>
      <w:r>
        <w:rPr>
          <w:bCs/>
          <w:iCs/>
        </w:rPr>
        <w:t xml:space="preserve">Специальные условия пролонгации Пакета услуг</w:t>
      </w:r>
      <w:r>
        <w:t xml:space="preserve">» </w:t>
      </w:r>
      <w:r>
        <w:rPr>
          <w:bCs/>
          <w:color w:val="000000"/>
        </w:rPr>
        <w:t xml:space="preserve">(далее – Акция).</w:t>
      </w:r>
    </w:p>
    <w:p>
      <w:pPr>
        <w:numPr>
          <w:numId w:val="3"/>
          <w:ilvl w:val="0"/>
        </w:numPr>
        <w:tabs>
          <w:tab w:val="left" w:pos="284" w:leader="none"/>
          <w:tab w:val="left" w:pos="1134" w:leader="none"/>
        </w:tabs>
        <w:spacing w:line="276" w:lineRule="auto"/>
        <w:ind w:left="1276" w:hanging="567"/>
        <w:contextualSpacing/>
        <w:jc w:val="both"/>
      </w:pPr>
      <w:r>
        <w:rPr>
          <w:lang w:val="en-US"/>
        </w:rPr>
        <w:t xml:space="preserve">C</w:t>
      </w:r>
      <w:r>
        <w:t xml:space="preserve">рок проведения Акции: 25</w:t>
      </w:r>
      <w:r>
        <w:t xml:space="preserve"> </w:t>
      </w:r>
      <w:r>
        <w:t xml:space="preserve">марта 2025 года</w:t>
      </w:r>
    </w:p>
    <w:p>
      <w:pPr>
        <w:numPr>
          <w:numId w:val="3"/>
          <w:ilvl w:val="0"/>
        </w:numPr>
        <w:tabs>
          <w:tab w:val="left" w:pos="284" w:leader="none"/>
          <w:tab w:val="left" w:pos="1134" w:leader="none"/>
        </w:tabs>
        <w:spacing w:line="276" w:lineRule="auto"/>
        <w:ind w:left="0" w:firstLine="709"/>
        <w:contextualSpacing/>
        <w:jc w:val="both"/>
      </w:pPr>
      <w:r>
        <w:t xml:space="preserve">Место проведения Акции:</w:t>
      </w:r>
    </w:p>
    <w:p>
      <w:pPr>
        <w:tabs>
          <w:tab w:val="left" w:pos="0" w:leader="none"/>
          <w:tab w:val="left" w:pos="284" w:leader="none"/>
          <w:tab w:val="left" w:pos="567" w:leader="none"/>
        </w:tabs>
        <w:spacing w:line="276" w:lineRule="auto"/>
        <w:ind w:firstLine="1134"/>
        <w:contextualSpacing/>
        <w:jc w:val="both"/>
        <w:rPr>
          <w:highlight w:val="none"/>
        </w:rPr>
      </w:pPr>
      <w:r>
        <w:t xml:space="preserve">Костромской</w:t>
      </w:r>
      <w:r>
        <w:t xml:space="preserve"> РФ АО «Россельхозбанк» (</w:t>
      </w:r>
      <w:r>
        <w:t xml:space="preserve">Центральный офис</w:t>
      </w:r>
      <w:r>
        <w:t xml:space="preserve"> </w:t>
      </w:r>
      <w:r>
        <w:t xml:space="preserve">Костромского РФ </w:t>
      </w:r>
      <w:r>
        <w:br/>
      </w:r>
      <w:r>
        <w:t xml:space="preserve">АО «Россельхозбанк» №3349/51</w:t>
      </w:r>
      <w:r>
        <w:t xml:space="preserve">/00, </w:t>
      </w:r>
      <w:r>
        <w:t xml:space="preserve">Костромская обл., г. Кострома, просп. Мира, дом 6</w:t>
      </w:r>
      <w: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tabs>
          <w:tab w:val="left" w:pos="0" w:leader="none"/>
          <w:tab w:val="left" w:pos="284" w:leader="none"/>
          <w:tab w:val="left" w:pos="567" w:leader="none"/>
        </w:tabs>
        <w:spacing w:line="276" w:lineRule="auto"/>
        <w:ind w:firstLine="1134"/>
        <w:contextualSpacing/>
        <w:jc w:val="both"/>
        <w:rPr>
          <w14:ligatures w14:val="none"/>
        </w:rPr>
      </w:pPr>
      <w:r>
        <w:t xml:space="preserve">Кемеровский</w:t>
      </w:r>
      <w:r>
        <w:t xml:space="preserve"> РФ АО «Россельхозбанк» (</w:t>
      </w:r>
      <w:r>
        <w:t xml:space="preserve">Центральный офис</w:t>
      </w:r>
      <w:r>
        <w:t xml:space="preserve"> </w:t>
      </w:r>
      <w:r>
        <w:t xml:space="preserve">Кемеровского РФ </w:t>
      </w:r>
      <w:r>
        <w:br/>
      </w:r>
      <w:r>
        <w:t xml:space="preserve">АО «Россельхозбанк» №3349/56</w:t>
      </w:r>
      <w:r>
        <w:t xml:space="preserve">/00, </w:t>
      </w:r>
      <w:r>
        <w:t xml:space="preserve">Кемеровская область г. Кемерово, Центральный район, пр-кт Советский, 8а</w:t>
      </w:r>
      <w:r>
        <w:t xml:space="preserve">)</w:t>
      </w:r>
      <w:r>
        <w:rPr>
          <w14:ligatures w14:val="none"/>
        </w:rPr>
      </w:r>
      <w:r>
        <w:rPr>
          <w14:ligatures w14:val="none"/>
        </w:rPr>
      </w:r>
    </w:p>
    <w:p>
      <w:pPr>
        <w:tabs>
          <w:tab w:val="left" w:pos="0" w:leader="none"/>
          <w:tab w:val="left" w:pos="284" w:leader="none"/>
          <w:tab w:val="left" w:pos="567" w:leader="none"/>
        </w:tabs>
        <w:spacing w:line="276" w:lineRule="auto"/>
        <w:ind w:firstLine="1134"/>
        <w:contextualSpacing/>
        <w:jc w:val="both"/>
        <w:rPr>
          <w:sz w:val="24"/>
          <w:szCs w:val="24"/>
          <w14:ligatures w14:val="none"/>
        </w:rPr>
      </w:pPr>
      <w:r>
        <w:t xml:space="preserve">Региональный филиал - «Центр розничного и малого бизнеса» АО «Россельхозбанк» (Центральный офис </w:t>
      </w:r>
      <w:r>
        <w:t xml:space="preserve">Регионального филиала - «Центр розничного и малого бизнеса»</w:t>
      </w:r>
      <w:r>
        <w:t xml:space="preserve"> </w:t>
        <w:br/>
      </w:r>
      <w:r>
        <w:t xml:space="preserve">АО «Россельхозбанк» №3349/63/00, </w:t>
      </w:r>
      <w:r>
        <w:t xml:space="preserve">г. Москва, проезд Красногвардейский 1-й, д.7, строен.1</w:t>
      </w:r>
      <w:r>
        <w:t xml:space="preserve">)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tabs>
          <w:tab w:val="left" w:pos="0" w:leader="none"/>
          <w:tab w:val="left" w:pos="284" w:leader="none"/>
          <w:tab w:val="left" w:pos="567" w:leader="none"/>
        </w:tabs>
        <w:spacing w:line="276" w:lineRule="auto"/>
        <w:ind w:firstLine="1134"/>
        <w:contextualSpacing/>
        <w:jc w:val="both"/>
        <w:rPr>
          <w:highlight w:val="none"/>
        </w:rPr>
      </w:pPr>
      <w:r>
        <w:t xml:space="preserve">Смоленский</w:t>
      </w:r>
      <w:r>
        <w:t xml:space="preserve"> РФ АО «Россельхозбанк» (</w:t>
      </w:r>
      <w:r>
        <w:t xml:space="preserve">Центральный офис</w:t>
      </w:r>
      <w:r>
        <w:t xml:space="preserve"> </w:t>
      </w:r>
      <w:r>
        <w:t xml:space="preserve">Смоленского РФ </w:t>
      </w:r>
      <w:r>
        <w:br/>
      </w:r>
      <w:r>
        <w:t xml:space="preserve">АО «Россельхозбанк» №3349/43</w:t>
      </w:r>
      <w:r>
        <w:t xml:space="preserve">/00, </w:t>
      </w:r>
      <w:r>
        <w:t xml:space="preserve">Смоленская область, г. Смоленск, ул.Твардовского, д.2-В</w:t>
      </w:r>
      <w: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tabs>
          <w:tab w:val="left" w:pos="0" w:leader="none"/>
          <w:tab w:val="left" w:pos="284" w:leader="none"/>
          <w:tab w:val="left" w:pos="567" w:leader="none"/>
        </w:tabs>
        <w:spacing w:line="276" w:lineRule="auto"/>
        <w:ind w:firstLine="1134"/>
        <w:contextualSpacing/>
        <w:jc w:val="both"/>
        <w:rPr>
          <w:highlight w:val="none"/>
        </w:rPr>
      </w:pPr>
      <w:r>
        <w:t xml:space="preserve">Курский</w:t>
      </w:r>
      <w:r>
        <w:t xml:space="preserve"> РФ АО «Россельхозбанк» (</w:t>
      </w:r>
      <w:r>
        <w:t xml:space="preserve">Дополнительный офис</w:t>
      </w:r>
      <w:r>
        <w:t xml:space="preserve"> </w:t>
      </w:r>
      <w:r>
        <w:t xml:space="preserve">Курского РФ </w:t>
      </w:r>
      <w:r>
        <w:br/>
      </w:r>
      <w:r>
        <w:t xml:space="preserve">АО «Россельхозбанк» №3349/32</w:t>
      </w:r>
      <w:r>
        <w:t xml:space="preserve">/12, </w:t>
      </w:r>
      <w:r>
        <w:t xml:space="preserve">Курская область, Черемисиновский район, п. Черемисиново, ул. Советская, д.4</w:t>
      </w:r>
      <w: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tabs>
          <w:tab w:val="left" w:pos="0" w:leader="none"/>
          <w:tab w:val="left" w:pos="284" w:leader="none"/>
          <w:tab w:val="left" w:pos="567" w:leader="none"/>
        </w:tabs>
        <w:spacing w:line="276" w:lineRule="auto"/>
        <w:ind w:firstLine="1134"/>
        <w:contextualSpacing/>
        <w:jc w:val="both"/>
        <w:rPr>
          <w:highlight w:val="none"/>
        </w:rPr>
      </w:pPr>
      <w:r>
        <w:t xml:space="preserve">Курский</w:t>
      </w:r>
      <w:r>
        <w:t xml:space="preserve"> РФ АО «Россельхозбанк» (</w:t>
      </w:r>
      <w:r>
        <w:t xml:space="preserve">Дополнительный офис</w:t>
      </w:r>
      <w:r>
        <w:t xml:space="preserve"> </w:t>
      </w:r>
      <w:r>
        <w:t xml:space="preserve">Курского РФ </w:t>
      </w:r>
      <w:r>
        <w:br/>
      </w:r>
      <w:r>
        <w:t xml:space="preserve">АО «Россельхозбанк» №3349/32</w:t>
      </w:r>
      <w:r>
        <w:t xml:space="preserve">/22, </w:t>
      </w:r>
      <w:r>
        <w:t xml:space="preserve">Курская область, </w:t>
      </w:r>
      <w:r>
        <w:t xml:space="preserve">Тимский район, п.Тим, ул. Кирова, д.50 "б"</w:t>
      </w:r>
      <w: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tabs>
          <w:tab w:val="left" w:pos="0" w:leader="none"/>
          <w:tab w:val="left" w:pos="284" w:leader="none"/>
          <w:tab w:val="left" w:pos="567" w:leader="none"/>
        </w:tabs>
        <w:spacing w:line="276" w:lineRule="auto"/>
        <w:ind w:firstLine="1134"/>
        <w:contextualSpacing/>
        <w:jc w:val="both"/>
        <w:rPr>
          <w:highlight w:val="none"/>
        </w:rPr>
      </w:pPr>
      <w:r>
        <w:rPr>
          <w:highlight w:val="none"/>
        </w:rPr>
      </w:r>
      <w:r>
        <w:t xml:space="preserve">Курский</w:t>
      </w:r>
      <w:r>
        <w:t xml:space="preserve"> РФ АО «Россельхозбанк» (</w:t>
      </w:r>
      <w:r>
        <w:t xml:space="preserve">Дополнительный офис</w:t>
      </w:r>
      <w:r>
        <w:t xml:space="preserve"> </w:t>
      </w:r>
      <w:r>
        <w:t xml:space="preserve">Курского РФ </w:t>
      </w:r>
      <w:r>
        <w:br/>
      </w:r>
      <w:r>
        <w:t xml:space="preserve">АО «Россельхозбанк» №3349/32</w:t>
      </w:r>
      <w:r>
        <w:t xml:space="preserve">/21, </w:t>
      </w:r>
      <w:r>
        <w:t xml:space="preserve">Курская область, Золотухинский район, пос.Золотухино, ул.Кирова, д.37</w:t>
      </w:r>
      <w: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tabs>
          <w:tab w:val="left" w:pos="0" w:leader="none"/>
          <w:tab w:val="left" w:pos="284" w:leader="none"/>
          <w:tab w:val="left" w:pos="567" w:leader="none"/>
        </w:tabs>
        <w:spacing w:line="276" w:lineRule="auto"/>
        <w:ind w:firstLine="1134"/>
        <w:contextualSpacing/>
        <w:jc w:val="both"/>
        <w:rPr>
          <w:highlight w:val="none"/>
        </w:rPr>
      </w:pPr>
      <w:r>
        <w:rPr>
          <w:highlight w:val="none"/>
        </w:rPr>
      </w:r>
      <w:r>
        <w:t xml:space="preserve">Курский</w:t>
      </w:r>
      <w:r>
        <w:t xml:space="preserve"> РФ АО «Россельхозбанк» (</w:t>
      </w:r>
      <w:r>
        <w:t xml:space="preserve">Дополнительный офис</w:t>
      </w:r>
      <w:r>
        <w:t xml:space="preserve"> </w:t>
      </w:r>
      <w:r>
        <w:t xml:space="preserve">Курского РФ </w:t>
      </w:r>
      <w:r>
        <w:br/>
      </w:r>
      <w:r>
        <w:t xml:space="preserve">АО «Россельхозбанк» №3349/32</w:t>
      </w:r>
      <w:r>
        <w:t xml:space="preserve">/23, </w:t>
      </w:r>
      <w:r>
        <w:t xml:space="preserve">Курская область, Большесолдатский район, с. Большое Солдатское, ул. Мира, 1</w:t>
      </w:r>
      <w: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tabs>
          <w:tab w:val="left" w:pos="0" w:leader="none"/>
          <w:tab w:val="left" w:pos="284" w:leader="none"/>
          <w:tab w:val="left" w:pos="567" w:leader="none"/>
        </w:tabs>
        <w:spacing w:line="276" w:lineRule="auto"/>
        <w:ind w:firstLine="1134"/>
        <w:contextualSpacing/>
        <w:jc w:val="both"/>
        <w:rPr>
          <w:highlight w:val="none"/>
        </w:rPr>
      </w:pPr>
      <w:r>
        <w:rPr>
          <w:highlight w:val="none"/>
        </w:rPr>
      </w:r>
      <w:r>
        <w:t xml:space="preserve">Курский</w:t>
      </w:r>
      <w:r>
        <w:t xml:space="preserve"> РФ АО «Россельхозбанк» (</w:t>
      </w:r>
      <w:r>
        <w:t xml:space="preserve">Дополнительный офис</w:t>
      </w:r>
      <w:r>
        <w:t xml:space="preserve"> </w:t>
      </w:r>
      <w:r>
        <w:t xml:space="preserve">Курского РФ </w:t>
      </w:r>
      <w:r>
        <w:br/>
      </w:r>
      <w:r>
        <w:t xml:space="preserve">АО «Россельхозбанк» №3349/32</w:t>
      </w:r>
      <w:r>
        <w:t xml:space="preserve">/16, </w:t>
      </w:r>
      <w:r>
        <w:t xml:space="preserve">Курская область, </w:t>
      </w:r>
      <w:r>
        <w:t xml:space="preserve">Медвенский район, п.Медвенка, ул. Советская, д.45</w:t>
      </w:r>
      <w: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tabs>
          <w:tab w:val="left" w:pos="0" w:leader="none"/>
          <w:tab w:val="left" w:pos="284" w:leader="none"/>
          <w:tab w:val="left" w:pos="567" w:leader="none"/>
        </w:tabs>
        <w:spacing w:line="276" w:lineRule="auto"/>
        <w:ind w:firstLine="1134"/>
        <w:contextualSpacing/>
        <w:jc w:val="both"/>
        <w:rPr>
          <w:highlight w:val="none"/>
        </w:rPr>
      </w:pPr>
      <w:r>
        <w:rPr>
          <w:highlight w:val="none"/>
        </w:rPr>
      </w:r>
      <w:r>
        <w:t xml:space="preserve">Курский</w:t>
      </w:r>
      <w:r>
        <w:t xml:space="preserve"> РФ АО «Россельхозбанк» (</w:t>
      </w:r>
      <w:r>
        <w:t xml:space="preserve">Центральный офис</w:t>
      </w:r>
      <w:r>
        <w:t xml:space="preserve"> </w:t>
      </w:r>
      <w:r>
        <w:t xml:space="preserve">Курского РФ </w:t>
      </w:r>
      <w:r>
        <w:br/>
      </w:r>
      <w:r>
        <w:t xml:space="preserve">АО «Россельхозбанк» №3349/32</w:t>
      </w:r>
      <w:r>
        <w:t xml:space="preserve">/00, </w:t>
      </w:r>
      <w:r>
        <w:t xml:space="preserve">г. Курск, ул. Садовая, д.12</w:t>
      </w:r>
      <w: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tabs>
          <w:tab w:val="left" w:pos="0" w:leader="none"/>
          <w:tab w:val="left" w:pos="284" w:leader="none"/>
          <w:tab w:val="left" w:pos="567" w:leader="none"/>
        </w:tabs>
        <w:spacing w:line="276" w:lineRule="auto"/>
        <w:ind w:firstLine="1134"/>
        <w:contextualSpacing/>
        <w:jc w:val="both"/>
        <w:rPr>
          <w:highlight w:val="none"/>
        </w:rPr>
      </w:pPr>
      <w:r>
        <w:rPr>
          <w:highlight w:val="none"/>
        </w:rPr>
      </w:r>
      <w:r>
        <w:t xml:space="preserve">Ставропольский</w:t>
      </w:r>
      <w:r>
        <w:t xml:space="preserve"> РФ АО «Россельхозбанк» (</w:t>
      </w:r>
      <w:r>
        <w:t xml:space="preserve">Дополнительный офис</w:t>
      </w:r>
      <w:r>
        <w:t xml:space="preserve"> </w:t>
      </w:r>
      <w:r>
        <w:t xml:space="preserve">Ставропольского  РФ </w:t>
      </w:r>
      <w:r>
        <w:t xml:space="preserve">АО «Россельхозбанк» №3349/6</w:t>
      </w:r>
      <w:r>
        <w:t xml:space="preserve">/21, </w:t>
      </w:r>
      <w:r>
        <w:t xml:space="preserve">Ставропольский край, г. Пятигорск, проспект Калинина, дом 38а, строение 2</w:t>
      </w:r>
      <w: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tabs>
          <w:tab w:val="left" w:pos="0" w:leader="none"/>
          <w:tab w:val="left" w:pos="284" w:leader="none"/>
          <w:tab w:val="left" w:pos="567" w:leader="none"/>
        </w:tabs>
        <w:spacing w:line="276" w:lineRule="auto"/>
        <w:ind w:firstLine="1134"/>
        <w:contextualSpacing/>
        <w:jc w:val="both"/>
        <w:rPr>
          <w:highlight w:val="none"/>
        </w:rPr>
      </w:pPr>
      <w:r>
        <w:rPr>
          <w:highlight w:val="none"/>
        </w:rPr>
      </w:r>
      <w:r>
        <w:t xml:space="preserve">Ставропольский</w:t>
      </w:r>
      <w:r>
        <w:t xml:space="preserve"> РФ АО «Россельхозбанк» (</w:t>
      </w:r>
      <w:r>
        <w:t xml:space="preserve">Центральный офис</w:t>
      </w:r>
      <w:r>
        <w:t xml:space="preserve"> </w:t>
      </w:r>
      <w:r>
        <w:t xml:space="preserve">Ставропольского  РФ </w:t>
      </w:r>
      <w:r>
        <w:t xml:space="preserve">АО «Россельхозбанк» №3349/6</w:t>
      </w:r>
      <w:r>
        <w:t xml:space="preserve">/00, </w:t>
      </w:r>
      <w:r>
        <w:t xml:space="preserve">Ставропольский край, </w:t>
      </w:r>
      <w:r>
        <w:t xml:space="preserve">г. Ставрополь, улица Маршала Жукова, дом 26</w:t>
      </w:r>
      <w: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tabs>
          <w:tab w:val="left" w:pos="0" w:leader="none"/>
          <w:tab w:val="left" w:pos="284" w:leader="none"/>
          <w:tab w:val="left" w:pos="567" w:leader="none"/>
        </w:tabs>
        <w:spacing w:line="276" w:lineRule="auto"/>
        <w:ind w:firstLine="1134"/>
        <w:contextualSpacing/>
        <w:jc w:val="both"/>
        <w:rPr>
          <w:highlight w:val="none"/>
        </w:rPr>
      </w:pPr>
      <w:r>
        <w:rPr>
          <w:highlight w:val="none"/>
        </w:rPr>
      </w:r>
      <w:r>
        <w:t xml:space="preserve">Омский</w:t>
      </w:r>
      <w:r>
        <w:t xml:space="preserve"> РФ АО «Россельхозбанк» (</w:t>
      </w:r>
      <w:r>
        <w:t xml:space="preserve">Центральный офис</w:t>
      </w:r>
      <w:r>
        <w:t xml:space="preserve"> </w:t>
      </w:r>
      <w:r>
        <w:t xml:space="preserve">Омского РФ </w:t>
      </w:r>
      <w:r>
        <w:t xml:space="preserve">АО «Россельхозбанк» №3349/9</w:t>
      </w:r>
      <w:r>
        <w:t xml:space="preserve">/00, </w:t>
      </w:r>
      <w:r>
        <w:t xml:space="preserve">г. Омск, ул. Фрунзе, д. 52</w:t>
      </w:r>
      <w: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tabs>
          <w:tab w:val="left" w:pos="0" w:leader="none"/>
          <w:tab w:val="left" w:pos="284" w:leader="none"/>
          <w:tab w:val="left" w:pos="567" w:leader="none"/>
        </w:tabs>
        <w:spacing w:line="276" w:lineRule="auto"/>
        <w:ind w:firstLine="1134"/>
        <w:contextualSpacing/>
        <w:jc w:val="both"/>
        <w:rPr>
          <w:highlight w:val="none"/>
        </w:rPr>
      </w:pPr>
      <w:r>
        <w:rPr>
          <w:highlight w:val="none"/>
        </w:rPr>
      </w:r>
      <w:r>
        <w:t xml:space="preserve">Хабаровский</w:t>
      </w:r>
      <w:r>
        <w:t xml:space="preserve"> РФ АО «Россельхозбанк» (Дополнительный</w:t>
      </w:r>
      <w:r>
        <w:t xml:space="preserve"> офис</w:t>
      </w:r>
      <w:r>
        <w:t xml:space="preserve"> </w:t>
      </w:r>
      <w:r>
        <w:t xml:space="preserve">Хабаровского РФ </w:t>
      </w:r>
      <w:r>
        <w:t xml:space="preserve">АО «Россельхозбанк» №3349/75</w:t>
      </w:r>
      <w:r>
        <w:t xml:space="preserve">/11, </w:t>
      </w:r>
      <w:r>
        <w:t xml:space="preserve">Магаданская область, г. Магадан, проспект Карла Маркса, д. 40</w:t>
      </w:r>
      <w: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tabs>
          <w:tab w:val="left" w:pos="0" w:leader="none"/>
          <w:tab w:val="left" w:pos="284" w:leader="none"/>
          <w:tab w:val="left" w:pos="567" w:leader="none"/>
        </w:tabs>
        <w:spacing w:line="276" w:lineRule="auto"/>
        <w:ind w:firstLine="1134"/>
        <w:contextualSpacing/>
        <w:jc w:val="both"/>
        <w:rPr>
          <w:highlight w:val="none"/>
        </w:rPr>
      </w:pPr>
      <w:r>
        <w:rPr>
          <w:highlight w:val="none"/>
        </w:rPr>
      </w:r>
      <w:r>
        <w:t xml:space="preserve">Тверской</w:t>
      </w:r>
      <w:r>
        <w:t xml:space="preserve"> РФ АО «Россельхозбанк» (Центральный</w:t>
      </w:r>
      <w:r>
        <w:t xml:space="preserve"> офис</w:t>
      </w:r>
      <w:r>
        <w:t xml:space="preserve"> </w:t>
      </w:r>
      <w:r>
        <w:t xml:space="preserve">Тверского РФ </w:t>
      </w:r>
      <w:r>
        <w:t xml:space="preserve">АО «Россельхозбанк» №3349/19</w:t>
      </w:r>
      <w:r>
        <w:t xml:space="preserve">/00, </w:t>
      </w:r>
      <w:r>
        <w:t xml:space="preserve">Тверская область, г. Тверь, ул. Дмитрия Донского, д. 37 </w:t>
      </w:r>
      <w:r>
        <w:t xml:space="preserve">)</w:t>
      </w:r>
      <w:r>
        <w:rPr>
          <w:highlight w:val="none"/>
        </w:rPr>
      </w:r>
      <w:r>
        <w:rPr>
          <w:highlight w:val="none"/>
        </w:rPr>
      </w:r>
    </w:p>
    <w:p>
      <w:pPr>
        <w:numPr>
          <w:numId w:val="3"/>
          <w:ilvl w:val="0"/>
        </w:numPr>
        <w:tabs>
          <w:tab w:val="left" w:pos="0" w:leader="none"/>
        </w:tabs>
        <w:spacing w:line="276" w:lineRule="auto"/>
        <w:ind w:left="0" w:right="0" w:firstLine="709"/>
        <w:contextualSpacing/>
        <w:jc w:val="both"/>
      </w:pPr>
      <w:r>
        <w:t xml:space="preserve">Условия Акции: для клиентов, обратившихся с заявле</w:t>
      </w:r>
      <w:r>
        <w:t xml:space="preserve">нием на участие в Акции в рамках тарифного плана «Пакет услуг «Ультра» в срок проведения Акции, указанный в п. 2 настоящих Правил, в подразделения Банка, указанные в п. 3 настоящих Правил, комиссия за обслуживание Пакета услуг «Ультра» при пролонгации Паке</w:t>
      </w:r>
      <w:r>
        <w:t xml:space="preserve">та услуг «Ультра» на период с 25</w:t>
      </w:r>
      <w:r>
        <w:t xml:space="preserve">.0</w:t>
      </w:r>
      <w:r>
        <w:t xml:space="preserve">3.2025 до </w:t>
      </w:r>
      <w:r>
        <w:t xml:space="preserve">24.</w:t>
      </w:r>
      <w:r>
        <w:t xml:space="preserve">03.2026 включительно, не взимается.</w:t>
      </w:r>
    </w:p>
    <w:p>
      <w:pPr>
        <w:numPr>
          <w:numId w:val="3"/>
          <w:ilvl w:val="0"/>
        </w:numPr>
        <w:tabs>
          <w:tab w:val="left" w:pos="284" w:leader="none"/>
          <w:tab w:val="left" w:pos="1134" w:leader="none"/>
        </w:tabs>
        <w:spacing w:line="276" w:lineRule="auto"/>
        <w:ind w:left="0" w:firstLine="709"/>
        <w:contextualSpacing/>
        <w:jc w:val="both"/>
      </w:pPr>
      <w:r>
        <w:t xml:space="preserve">Участники Акции: физические лица – владельцы действующего Пакета услуг «Ультра», обратившиеся с заявлением на участие в Акции в подразделения Банка, указанные в пункте 3 настоящих Правил, в срок проведения Акции, указанный в пункте 2 настоящих Правил.</w:t>
      </w:r>
    </w:p>
    <w:p>
      <w:pPr>
        <w:numPr>
          <w:numId w:val="3"/>
          <w:ilvl w:val="0"/>
        </w:numPr>
        <w:tabs>
          <w:tab w:val="left" w:pos="284" w:leader="none"/>
          <w:tab w:val="left" w:pos="1134" w:leader="none"/>
        </w:tabs>
        <w:spacing w:line="276" w:lineRule="auto"/>
        <w:ind w:left="0" w:firstLine="709"/>
        <w:contextualSpacing/>
        <w:jc w:val="both"/>
      </w:pPr>
      <w:r>
        <w:t xml:space="preserve">Организатором Акции является Банк.</w:t>
      </w:r>
    </w:p>
    <w:p>
      <w:pPr>
        <w:numPr>
          <w:numId w:val="3"/>
          <w:ilvl w:val="0"/>
        </w:numPr>
        <w:tabs>
          <w:tab w:val="left" w:pos="284" w:leader="none"/>
          <w:tab w:val="left" w:pos="1134" w:leader="none"/>
        </w:tabs>
        <w:spacing w:line="276" w:lineRule="auto"/>
        <w:ind w:left="0" w:firstLine="709"/>
        <w:contextualSpacing/>
        <w:jc w:val="both"/>
      </w:pPr>
      <w:r>
        <w:t xml:space="preserve">Ответственный за проведение Акции: </w:t>
      </w:r>
    </w:p>
    <w:p>
      <w:pPr>
        <w:tabs>
          <w:tab w:val="left" w:pos="284" w:leader="none"/>
          <w:tab w:val="left" w:pos="993" w:leader="none"/>
        </w:tabs>
        <w:spacing w:line="276" w:lineRule="auto"/>
        <w:jc w:val="both"/>
      </w:pPr>
      <w:r>
        <w:t xml:space="preserve">Подразделения Банка, указанные в пункте 3 настоящих Правил. </w:t>
      </w:r>
    </w:p>
    <w:p>
      <w:pPr>
        <w:numPr>
          <w:numId w:val="3"/>
          <w:ilvl w:val="0"/>
        </w:numPr>
        <w:tabs>
          <w:tab w:val="left" w:pos="284" w:leader="none"/>
          <w:tab w:val="left" w:pos="1134" w:leader="none"/>
        </w:tabs>
        <w:spacing w:line="276" w:lineRule="auto"/>
        <w:ind w:left="0" w:firstLine="709"/>
        <w:contextualSpacing/>
        <w:jc w:val="both"/>
      </w:pPr>
      <w:r>
        <w:t xml:space="preserve">Порядок информирования об условиях Акции: </w:t>
      </w:r>
    </w:p>
    <w:p>
      <w:pPr>
        <w:tabs>
          <w:tab w:val="left" w:pos="851" w:leader="none"/>
        </w:tabs>
        <w:spacing w:line="276" w:lineRule="auto"/>
        <w:ind w:firstLine="709"/>
        <w:jc w:val="both"/>
      </w:pPr>
      <w:r>
        <w:t xml:space="preserve">-     размещение полной информации об Акции на интернет-сайте Банка/странице филиала на интернет-сайте Банка не позднее дня проведения Акции;</w:t>
      </w:r>
    </w:p>
    <w:p>
      <w:pPr>
        <w:numPr>
          <w:numId w:val="15"/>
          <w:ilvl w:val="0"/>
        </w:numPr>
        <w:tabs>
          <w:tab w:val="left" w:pos="1134" w:leader="none"/>
        </w:tabs>
        <w:spacing w:line="276" w:lineRule="auto"/>
        <w:ind w:left="0" w:firstLine="709"/>
        <w:jc w:val="both"/>
      </w:pPr>
      <w:r>
        <w:t xml:space="preserve">размещение полной информации об Акции в подразделениях Банка, указанных в пункте 3 настоящих Правил.</w:t>
      </w:r>
    </w:p>
    <w:p>
      <w:pPr>
        <w:numPr>
          <w:numId w:val="3"/>
          <w:ilvl w:val="0"/>
        </w:numPr>
        <w:tabs>
          <w:tab w:val="left" w:pos="284" w:leader="none"/>
          <w:tab w:val="left" w:pos="1134" w:leader="none"/>
        </w:tabs>
        <w:spacing w:line="276" w:lineRule="auto"/>
        <w:ind w:left="0" w:firstLine="709"/>
        <w:contextualSpacing/>
        <w:jc w:val="both"/>
      </w:pPr>
      <w:r>
        <w:t xml:space="preserve">Особые условия проведения Акции: </w:t>
      </w:r>
    </w:p>
    <w:p>
      <w:pPr>
        <w:numPr>
          <w:numId w:val="3"/>
          <w:ilvl w:val="1"/>
        </w:numPr>
        <w:tabs>
          <w:tab w:val="left" w:pos="284" w:leader="none"/>
          <w:tab w:val="left" w:pos="1276" w:leader="none"/>
        </w:tabs>
        <w:spacing w:line="276" w:lineRule="auto"/>
        <w:ind w:left="0" w:firstLine="709"/>
        <w:contextualSpacing/>
        <w:jc w:val="both"/>
      </w:pPr>
      <w:r>
        <w:t xml:space="preserve">Банк оставляет за собой право отказать клиенту в пролонгации Пакета услуг «Ультра» в рамках Акции в случае, если клиент не соответствует пункту 5 настоящих Правил.</w:t>
      </w:r>
    </w:p>
    <w:p>
      <w:pPr>
        <w:numPr>
          <w:numId w:val="3"/>
          <w:ilvl w:val="1"/>
        </w:numPr>
        <w:tabs>
          <w:tab w:val="left" w:pos="284" w:leader="none"/>
          <w:tab w:val="left" w:pos="1134" w:leader="none"/>
        </w:tabs>
        <w:spacing w:line="276" w:lineRule="auto"/>
        <w:ind w:left="0" w:firstLine="702"/>
        <w:contextualSpacing/>
        <w:jc w:val="both"/>
      </w:pPr>
      <w:r>
        <w:t xml:space="preserve">Банк осуществляет пролонгацию Пакета услуг «Ультра» на условиях Акции, указанных в пункте 4 настоящих Правил, на основании полученного от Участника Акции заявления на участие</w:t>
      </w:r>
      <w:r>
        <w:t xml:space="preserve"> в Акции, оформленного в срок проведения Акции, указанный в пункте 2 настоящих Правил, дальнейшее обслуживание осуществляется согласно действующим тарифным планам «Пакет услуг «Ультра» и Условиям комплексного банковского обслуживания держателей карт Банка.</w:t>
      </w:r>
    </w:p>
    <w:p>
      <w:pPr>
        <w:numPr>
          <w:numId w:val="3"/>
          <w:ilvl w:val="1"/>
        </w:numPr>
        <w:tabs>
          <w:tab w:val="left" w:pos="284" w:leader="none"/>
          <w:tab w:val="left" w:pos="1134" w:leader="none"/>
        </w:tabs>
        <w:spacing w:line="276" w:lineRule="auto"/>
        <w:ind w:left="0" w:firstLine="709"/>
        <w:contextualSpacing/>
        <w:jc w:val="both"/>
      </w:pPr>
      <w:r>
        <w:t xml:space="preserve">Клиент имеет право отказаться от Пакета услуг «Ультра» в порядке, предусмотренном Условиями комплексного банковского обслуживания держателей карт Банка.</w:t>
      </w:r>
    </w:p>
    <w:p>
      <w:pPr>
        <w:numPr>
          <w:numId w:val="3"/>
          <w:ilvl w:val="1"/>
        </w:numPr>
        <w:tabs>
          <w:tab w:val="left" w:pos="284" w:leader="none"/>
          <w:tab w:val="left" w:pos="1134" w:leader="none"/>
        </w:tabs>
        <w:spacing w:line="276" w:lineRule="auto"/>
        <w:ind w:left="0" w:firstLine="709"/>
        <w:contextualSpacing/>
        <w:jc w:val="both"/>
      </w:pPr>
      <w:r>
        <w:t xml:space="preserve">Факт подачи заявления на участие в Акции в рамках тарифного плана «Пакет услуг «Ультра» означает ознакомление и полное согласие Участника Акции с настоящими Правилами, Условиями комплексного банковского обслуживания держателей карт АО «Россельхозбанк», </w:t>
      </w:r>
      <w:r>
        <w:t xml:space="preserve">Условиями предоставления банковских продуктов физическим лицам в рамках Пакета услуг </w:t>
      </w:r>
      <w:bookmarkStart w:id="0" w:name="_GoBack"/>
      <w:bookmarkEnd w:id="0"/>
      <w:r>
        <w:t xml:space="preserve">АО «Россельхозбанк», участие в Акции является добровольным.</w:t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284" w:right="567" w:bottom="1134" w:left="1134" w:header="284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jc w:val="center"/>
    </w:pPr>
  </w:p>
  <w:p>
    <w:pPr>
      <w:pStyle w:val="80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framePr w:wrap="around" w:vAnchor="text" w:hAnchor="margin" w:xAlign="center" w:y="1"/>
      <w:rPr>
        <w:rStyle w:val="958"/>
      </w:rPr>
    </w:pPr>
    <w:r>
      <w:rPr>
        <w:rStyle w:val="958"/>
      </w:rPr>
      <w:fldChar w:fldCharType="begin"/>
    </w:r>
    <w:r>
      <w:rPr>
        <w:rStyle w:val="958"/>
      </w:rPr>
      <w:instrText xml:space="preserve">PAGE  </w:instrText>
    </w:r>
    <w:r>
      <w:rPr>
        <w:rStyle w:val="958"/>
      </w:rPr>
      <w:fldChar w:fldCharType="separate"/>
    </w:r>
    <w:r>
      <w:rPr>
        <w:rStyle w:val="958"/>
      </w:rPr>
      <w:t xml:space="preserve">2</w:t>
    </w:r>
    <w:r>
      <w:rPr>
        <w:rStyle w:val="958"/>
      </w:rPr>
      <w:fldChar w:fldCharType="end"/>
    </w:r>
    <w:r>
      <w:rPr>
        <w:rStyle w:val="958"/>
      </w:rPr>
    </w:r>
    <w:r>
      <w:rPr>
        <w:rStyle w:val="958"/>
      </w:rPr>
    </w:r>
  </w:p>
  <w:p>
    <w:pPr>
      <w:pStyle w:val="80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ind w:left="65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09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14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9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71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43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15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7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9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1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3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757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1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3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5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7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9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1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3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5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72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tabs>
          <w:tab w:val="num" w:pos="2160" w:leader="none"/>
        </w:tabs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tabs>
          <w:tab w:val="num" w:pos="4320" w:leader="none"/>
        </w:tabs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tabs>
          <w:tab w:val="num" w:pos="6480" w:leader="none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19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16"/>
  </w:num>
  <w:num w:numId="10">
    <w:abstractNumId w:val="18"/>
  </w:num>
  <w:num w:numId="11">
    <w:abstractNumId w:val="12"/>
  </w:num>
  <w:num w:numId="12">
    <w:abstractNumId w:val="0"/>
  </w:num>
  <w:num w:numId="13">
    <w:abstractNumId w:val="14"/>
  </w:num>
  <w:num w:numId="14">
    <w:abstractNumId w:val="6"/>
  </w:num>
  <w:num w:numId="15">
    <w:abstractNumId w:val="20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</w:num>
  <w:num w:numId="20">
    <w:abstractNumId w:val="3"/>
  </w:num>
  <w:num w:numId="21">
    <w:abstractNumId w:val="1"/>
  </w:num>
  <w:num w:numId="22">
    <w:abstractNumId w:val="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8">
    <w:name w:val="Heading 1 Char"/>
    <w:basedOn w:val="783"/>
    <w:link w:val="774"/>
    <w:uiPriority w:val="9"/>
    <w:rPr>
      <w:rFonts w:ascii="Arial" w:hAnsi="Arial" w:eastAsia="Arial" w:cs="Arial"/>
      <w:sz w:val="40"/>
      <w:szCs w:val="40"/>
    </w:rPr>
  </w:style>
  <w:style w:type="character" w:styleId="759">
    <w:name w:val="Heading 2 Char"/>
    <w:basedOn w:val="783"/>
    <w:link w:val="775"/>
    <w:uiPriority w:val="9"/>
    <w:rPr>
      <w:rFonts w:ascii="Arial" w:hAnsi="Arial" w:eastAsia="Arial" w:cs="Arial"/>
      <w:sz w:val="34"/>
    </w:rPr>
  </w:style>
  <w:style w:type="character" w:styleId="760">
    <w:name w:val="Heading 3 Char"/>
    <w:basedOn w:val="783"/>
    <w:link w:val="776"/>
    <w:uiPriority w:val="9"/>
    <w:rPr>
      <w:rFonts w:ascii="Arial" w:hAnsi="Arial" w:eastAsia="Arial" w:cs="Arial"/>
      <w:sz w:val="30"/>
      <w:szCs w:val="30"/>
    </w:rPr>
  </w:style>
  <w:style w:type="character" w:styleId="761">
    <w:name w:val="Heading 4 Char"/>
    <w:basedOn w:val="783"/>
    <w:link w:val="777"/>
    <w:uiPriority w:val="9"/>
    <w:rPr>
      <w:rFonts w:ascii="Arial" w:hAnsi="Arial" w:eastAsia="Arial" w:cs="Arial"/>
      <w:b/>
      <w:bCs/>
      <w:sz w:val="26"/>
      <w:szCs w:val="26"/>
    </w:rPr>
  </w:style>
  <w:style w:type="character" w:styleId="762">
    <w:name w:val="Heading 5 Char"/>
    <w:basedOn w:val="783"/>
    <w:link w:val="778"/>
    <w:uiPriority w:val="9"/>
    <w:rPr>
      <w:rFonts w:ascii="Arial" w:hAnsi="Arial" w:eastAsia="Arial" w:cs="Arial"/>
      <w:b/>
      <w:bCs/>
      <w:sz w:val="24"/>
      <w:szCs w:val="24"/>
    </w:rPr>
  </w:style>
  <w:style w:type="character" w:styleId="763">
    <w:name w:val="Heading 6 Char"/>
    <w:basedOn w:val="783"/>
    <w:link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764">
    <w:name w:val="Heading 7 Char"/>
    <w:basedOn w:val="783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5">
    <w:name w:val="Heading 8 Char"/>
    <w:basedOn w:val="783"/>
    <w:link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66">
    <w:name w:val="Heading 9 Char"/>
    <w:basedOn w:val="783"/>
    <w:link w:val="782"/>
    <w:uiPriority w:val="9"/>
    <w:rPr>
      <w:rFonts w:ascii="Arial" w:hAnsi="Arial" w:eastAsia="Arial" w:cs="Arial"/>
      <w:i/>
      <w:iCs/>
      <w:sz w:val="21"/>
      <w:szCs w:val="21"/>
    </w:rPr>
  </w:style>
  <w:style w:type="character" w:styleId="767">
    <w:name w:val="Title Char"/>
    <w:basedOn w:val="783"/>
    <w:link w:val="797"/>
    <w:uiPriority w:val="10"/>
    <w:rPr>
      <w:sz w:val="48"/>
      <w:szCs w:val="48"/>
    </w:rPr>
  </w:style>
  <w:style w:type="character" w:styleId="768">
    <w:name w:val="Subtitle Char"/>
    <w:basedOn w:val="783"/>
    <w:link w:val="799"/>
    <w:uiPriority w:val="11"/>
    <w:rPr>
      <w:sz w:val="24"/>
      <w:szCs w:val="24"/>
    </w:rPr>
  </w:style>
  <w:style w:type="character" w:styleId="769">
    <w:name w:val="Quote Char"/>
    <w:link w:val="801"/>
    <w:uiPriority w:val="29"/>
    <w:rPr>
      <w:i/>
    </w:rPr>
  </w:style>
  <w:style w:type="character" w:styleId="770">
    <w:name w:val="Intense Quote Char"/>
    <w:link w:val="803"/>
    <w:uiPriority w:val="30"/>
    <w:rPr>
      <w:i/>
    </w:rPr>
  </w:style>
  <w:style w:type="character" w:styleId="771">
    <w:name w:val="Footnote Text Char"/>
    <w:link w:val="938"/>
    <w:uiPriority w:val="99"/>
    <w:rPr>
      <w:sz w:val="18"/>
    </w:rPr>
  </w:style>
  <w:style w:type="character" w:styleId="772">
    <w:name w:val="Endnote Text Char"/>
    <w:link w:val="941"/>
    <w:uiPriority w:val="99"/>
    <w:rPr>
      <w:sz w:val="20"/>
    </w:rPr>
  </w:style>
  <w:style w:type="paragraph" w:styleId="773" w:default="1">
    <w:name w:val="Normal"/>
    <w:qFormat/>
    <w:rPr>
      <w:sz w:val="24"/>
      <w:szCs w:val="24"/>
      <w:lang w:eastAsia="ru-RU"/>
    </w:rPr>
  </w:style>
  <w:style w:type="paragraph" w:styleId="774">
    <w:name w:val="Heading 1"/>
    <w:basedOn w:val="773"/>
    <w:next w:val="773"/>
    <w:link w:val="786"/>
    <w:qFormat/>
    <w:pPr>
      <w:keepNext/>
      <w:jc w:val="center"/>
      <w:outlineLvl w:val="0"/>
    </w:pPr>
    <w:rPr>
      <w:sz w:val="28"/>
      <w:szCs w:val="28"/>
    </w:rPr>
  </w:style>
  <w:style w:type="paragraph" w:styleId="775">
    <w:name w:val="Heading 2"/>
    <w:basedOn w:val="773"/>
    <w:next w:val="773"/>
    <w:link w:val="787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76">
    <w:name w:val="Heading 3"/>
    <w:basedOn w:val="773"/>
    <w:next w:val="773"/>
    <w:link w:val="78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7">
    <w:name w:val="Heading 4"/>
    <w:basedOn w:val="773"/>
    <w:next w:val="773"/>
    <w:link w:val="78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8">
    <w:name w:val="Heading 5"/>
    <w:basedOn w:val="773"/>
    <w:next w:val="773"/>
    <w:link w:val="79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79">
    <w:name w:val="Heading 6"/>
    <w:basedOn w:val="773"/>
    <w:next w:val="773"/>
    <w:link w:val="79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80">
    <w:name w:val="Heading 7"/>
    <w:basedOn w:val="773"/>
    <w:next w:val="773"/>
    <w:link w:val="79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1">
    <w:name w:val="Heading 8"/>
    <w:basedOn w:val="773"/>
    <w:next w:val="773"/>
    <w:link w:val="79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2">
    <w:name w:val="Heading 9"/>
    <w:basedOn w:val="773"/>
    <w:next w:val="773"/>
    <w:link w:val="79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3" w:default="1">
    <w:name w:val="Default Paragraph Font"/>
    <w:uiPriority w:val="1"/>
    <w:semiHidden/>
    <w:unhideWhenUsed/>
  </w:style>
  <w:style w:type="table" w:styleId="7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5" w:default="1">
    <w:name w:val="No List"/>
    <w:uiPriority w:val="99"/>
    <w:semiHidden/>
    <w:unhideWhenUsed/>
  </w:style>
  <w:style w:type="character" w:styleId="786" w:customStyle="1">
    <w:name w:val="Заголовок 1 Знак"/>
    <w:link w:val="774"/>
    <w:uiPriority w:val="9"/>
    <w:rPr>
      <w:rFonts w:ascii="Arial" w:hAnsi="Arial" w:eastAsia="Arial" w:cs="Arial"/>
      <w:sz w:val="40"/>
      <w:szCs w:val="40"/>
    </w:rPr>
  </w:style>
  <w:style w:type="character" w:styleId="787" w:customStyle="1">
    <w:name w:val="Заголовок 2 Знак"/>
    <w:link w:val="775"/>
    <w:uiPriority w:val="9"/>
    <w:rPr>
      <w:rFonts w:ascii="Arial" w:hAnsi="Arial" w:eastAsia="Arial" w:cs="Arial"/>
      <w:sz w:val="34"/>
    </w:rPr>
  </w:style>
  <w:style w:type="character" w:styleId="788" w:customStyle="1">
    <w:name w:val="Заголовок 3 Знак"/>
    <w:link w:val="776"/>
    <w:uiPriority w:val="9"/>
    <w:rPr>
      <w:rFonts w:ascii="Arial" w:hAnsi="Arial" w:eastAsia="Arial" w:cs="Arial"/>
      <w:sz w:val="30"/>
      <w:szCs w:val="30"/>
    </w:rPr>
  </w:style>
  <w:style w:type="character" w:styleId="789" w:customStyle="1">
    <w:name w:val="Заголовок 4 Знак"/>
    <w:link w:val="777"/>
    <w:uiPriority w:val="9"/>
    <w:rPr>
      <w:rFonts w:ascii="Arial" w:hAnsi="Arial" w:eastAsia="Arial" w:cs="Arial"/>
      <w:b/>
      <w:bCs/>
      <w:sz w:val="26"/>
      <w:szCs w:val="26"/>
    </w:rPr>
  </w:style>
  <w:style w:type="character" w:styleId="790" w:customStyle="1">
    <w:name w:val="Заголовок 5 Знак"/>
    <w:link w:val="778"/>
    <w:uiPriority w:val="9"/>
    <w:rPr>
      <w:rFonts w:ascii="Arial" w:hAnsi="Arial" w:eastAsia="Arial" w:cs="Arial"/>
      <w:b/>
      <w:bCs/>
      <w:sz w:val="24"/>
      <w:szCs w:val="24"/>
    </w:rPr>
  </w:style>
  <w:style w:type="character" w:styleId="791" w:customStyle="1">
    <w:name w:val="Заголовок 6 Знак"/>
    <w:link w:val="779"/>
    <w:uiPriority w:val="9"/>
    <w:rPr>
      <w:rFonts w:ascii="Arial" w:hAnsi="Arial" w:eastAsia="Arial" w:cs="Arial"/>
      <w:b/>
      <w:bCs/>
      <w:sz w:val="22"/>
      <w:szCs w:val="22"/>
    </w:rPr>
  </w:style>
  <w:style w:type="character" w:styleId="792" w:customStyle="1">
    <w:name w:val="Заголовок 7 Знак"/>
    <w:link w:val="7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3" w:customStyle="1">
    <w:name w:val="Заголовок 8 Знак"/>
    <w:link w:val="781"/>
    <w:uiPriority w:val="9"/>
    <w:rPr>
      <w:rFonts w:ascii="Arial" w:hAnsi="Arial" w:eastAsia="Arial" w:cs="Arial"/>
      <w:i/>
      <w:iCs/>
      <w:sz w:val="22"/>
      <w:szCs w:val="22"/>
    </w:rPr>
  </w:style>
  <w:style w:type="character" w:styleId="794" w:customStyle="1">
    <w:name w:val="Заголовок 9 Знак"/>
    <w:link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List Paragraph"/>
    <w:basedOn w:val="773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796">
    <w:name w:val="No Spacing"/>
    <w:uiPriority w:val="1"/>
    <w:qFormat/>
  </w:style>
  <w:style w:type="paragraph" w:styleId="797">
    <w:name w:val="Title"/>
    <w:basedOn w:val="773"/>
    <w:next w:val="773"/>
    <w:link w:val="79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98" w:customStyle="1">
    <w:name w:val="Заголовок Знак"/>
    <w:link w:val="797"/>
    <w:uiPriority w:val="10"/>
    <w:rPr>
      <w:sz w:val="48"/>
      <w:szCs w:val="48"/>
    </w:rPr>
  </w:style>
  <w:style w:type="paragraph" w:styleId="799">
    <w:name w:val="Subtitle"/>
    <w:basedOn w:val="773"/>
    <w:next w:val="773"/>
    <w:link w:val="800"/>
    <w:uiPriority w:val="11"/>
    <w:qFormat/>
    <w:pPr>
      <w:spacing w:before="200" w:after="200"/>
    </w:pPr>
  </w:style>
  <w:style w:type="character" w:styleId="800" w:customStyle="1">
    <w:name w:val="Подзаголовок Знак"/>
    <w:link w:val="799"/>
    <w:uiPriority w:val="11"/>
    <w:rPr>
      <w:sz w:val="24"/>
      <w:szCs w:val="24"/>
    </w:rPr>
  </w:style>
  <w:style w:type="paragraph" w:styleId="801">
    <w:name w:val="Quote"/>
    <w:basedOn w:val="773"/>
    <w:next w:val="773"/>
    <w:link w:val="802"/>
    <w:uiPriority w:val="29"/>
    <w:qFormat/>
    <w:pPr>
      <w:ind w:left="720" w:right="720"/>
    </w:pPr>
    <w:rPr>
      <w:i/>
    </w:rPr>
  </w:style>
  <w:style w:type="character" w:styleId="802" w:customStyle="1">
    <w:name w:val="Цитата 2 Знак"/>
    <w:link w:val="801"/>
    <w:uiPriority w:val="29"/>
    <w:rPr>
      <w:i/>
    </w:rPr>
  </w:style>
  <w:style w:type="paragraph" w:styleId="803">
    <w:name w:val="Intense Quote"/>
    <w:basedOn w:val="773"/>
    <w:next w:val="773"/>
    <w:link w:val="80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804" w:customStyle="1">
    <w:name w:val="Выделенная цитата Знак"/>
    <w:link w:val="803"/>
    <w:uiPriority w:val="30"/>
    <w:rPr>
      <w:i/>
    </w:rPr>
  </w:style>
  <w:style w:type="paragraph" w:styleId="805">
    <w:name w:val="Header"/>
    <w:basedOn w:val="773"/>
    <w:link w:val="961"/>
    <w:uiPriority w:val="99"/>
    <w:pPr>
      <w:tabs>
        <w:tab w:val="center" w:pos="4677" w:leader="none"/>
        <w:tab w:val="right" w:pos="9355" w:leader="none"/>
      </w:tabs>
    </w:pPr>
  </w:style>
  <w:style w:type="character" w:styleId="806" w:customStyle="1">
    <w:name w:val="Header Char"/>
    <w:uiPriority w:val="99"/>
  </w:style>
  <w:style w:type="paragraph" w:styleId="807">
    <w:name w:val="Footer"/>
    <w:basedOn w:val="773"/>
    <w:link w:val="95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08" w:customStyle="1">
    <w:name w:val="Footer Char"/>
    <w:uiPriority w:val="99"/>
  </w:style>
  <w:style w:type="paragraph" w:styleId="809">
    <w:name w:val="Caption"/>
    <w:basedOn w:val="773"/>
    <w:next w:val="7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0" w:customStyle="1">
    <w:name w:val="Caption Char"/>
    <w:uiPriority w:val="99"/>
  </w:style>
  <w:style w:type="table" w:styleId="811">
    <w:name w:val="Table Grid"/>
    <w:basedOn w:val="784"/>
    <w:tblPr/>
  </w:style>
  <w:style w:type="table" w:styleId="81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4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4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4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4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4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5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5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5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5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6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8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8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1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1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1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1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1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1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91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3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7">
    <w:name w:val="Hyperlink"/>
    <w:uiPriority w:val="99"/>
    <w:unhideWhenUsed/>
    <w:rPr>
      <w:color w:val="0000ff" w:themeColor="hyperlink"/>
      <w:u w:val="single"/>
    </w:rPr>
  </w:style>
  <w:style w:type="paragraph" w:styleId="938">
    <w:name w:val="footnote text"/>
    <w:basedOn w:val="773"/>
    <w:link w:val="939"/>
    <w:rPr>
      <w:sz w:val="20"/>
      <w:szCs w:val="20"/>
    </w:rPr>
  </w:style>
  <w:style w:type="character" w:styleId="939" w:customStyle="1">
    <w:name w:val="Текст сноски Знак"/>
    <w:link w:val="938"/>
    <w:uiPriority w:val="99"/>
    <w:rPr>
      <w:sz w:val="18"/>
    </w:rPr>
  </w:style>
  <w:style w:type="character" w:styleId="940">
    <w:name w:val="footnote reference"/>
    <w:uiPriority w:val="99"/>
    <w:unhideWhenUsed/>
    <w:rPr>
      <w:vertAlign w:val="superscript"/>
    </w:rPr>
  </w:style>
  <w:style w:type="paragraph" w:styleId="941">
    <w:name w:val="endnote text"/>
    <w:basedOn w:val="773"/>
    <w:link w:val="942"/>
    <w:uiPriority w:val="99"/>
    <w:semiHidden/>
    <w:unhideWhenUsed/>
    <w:rPr>
      <w:sz w:val="20"/>
    </w:rPr>
  </w:style>
  <w:style w:type="character" w:styleId="942" w:customStyle="1">
    <w:name w:val="Текст концевой сноски Знак"/>
    <w:link w:val="941"/>
    <w:uiPriority w:val="99"/>
    <w:rPr>
      <w:sz w:val="20"/>
    </w:rPr>
  </w:style>
  <w:style w:type="character" w:styleId="943">
    <w:name w:val="endnote reference"/>
    <w:uiPriority w:val="99"/>
    <w:semiHidden/>
    <w:unhideWhenUsed/>
    <w:rPr>
      <w:vertAlign w:val="superscript"/>
    </w:rPr>
  </w:style>
  <w:style w:type="paragraph" w:styleId="944">
    <w:name w:val="toc 1"/>
    <w:basedOn w:val="773"/>
    <w:next w:val="773"/>
    <w:uiPriority w:val="39"/>
    <w:unhideWhenUsed/>
    <w:pPr>
      <w:spacing w:after="57"/>
    </w:pPr>
  </w:style>
  <w:style w:type="paragraph" w:styleId="945">
    <w:name w:val="toc 2"/>
    <w:basedOn w:val="773"/>
    <w:next w:val="773"/>
    <w:uiPriority w:val="39"/>
    <w:unhideWhenUsed/>
    <w:pPr>
      <w:spacing w:after="57"/>
      <w:ind w:left="283"/>
    </w:pPr>
  </w:style>
  <w:style w:type="paragraph" w:styleId="946">
    <w:name w:val="toc 3"/>
    <w:basedOn w:val="773"/>
    <w:next w:val="773"/>
    <w:uiPriority w:val="39"/>
    <w:unhideWhenUsed/>
    <w:pPr>
      <w:spacing w:after="57"/>
      <w:ind w:left="567"/>
    </w:pPr>
  </w:style>
  <w:style w:type="paragraph" w:styleId="947">
    <w:name w:val="toc 4"/>
    <w:basedOn w:val="773"/>
    <w:next w:val="773"/>
    <w:uiPriority w:val="39"/>
    <w:unhideWhenUsed/>
    <w:pPr>
      <w:spacing w:after="57"/>
      <w:ind w:left="850"/>
    </w:pPr>
  </w:style>
  <w:style w:type="paragraph" w:styleId="948">
    <w:name w:val="toc 5"/>
    <w:basedOn w:val="773"/>
    <w:next w:val="773"/>
    <w:uiPriority w:val="39"/>
    <w:unhideWhenUsed/>
    <w:pPr>
      <w:spacing w:after="57"/>
      <w:ind w:left="1134"/>
    </w:pPr>
  </w:style>
  <w:style w:type="paragraph" w:styleId="949">
    <w:name w:val="toc 6"/>
    <w:basedOn w:val="773"/>
    <w:next w:val="773"/>
    <w:uiPriority w:val="39"/>
    <w:unhideWhenUsed/>
    <w:pPr>
      <w:spacing w:after="57"/>
      <w:ind w:left="1417"/>
    </w:pPr>
  </w:style>
  <w:style w:type="paragraph" w:styleId="950">
    <w:name w:val="toc 7"/>
    <w:basedOn w:val="773"/>
    <w:next w:val="773"/>
    <w:uiPriority w:val="39"/>
    <w:unhideWhenUsed/>
    <w:pPr>
      <w:spacing w:after="57"/>
      <w:ind w:left="1701"/>
    </w:pPr>
  </w:style>
  <w:style w:type="paragraph" w:styleId="951">
    <w:name w:val="toc 8"/>
    <w:basedOn w:val="773"/>
    <w:next w:val="773"/>
    <w:uiPriority w:val="39"/>
    <w:unhideWhenUsed/>
    <w:pPr>
      <w:spacing w:after="57"/>
      <w:ind w:left="1984"/>
    </w:pPr>
  </w:style>
  <w:style w:type="paragraph" w:styleId="952">
    <w:name w:val="toc 9"/>
    <w:basedOn w:val="773"/>
    <w:next w:val="773"/>
    <w:uiPriority w:val="39"/>
    <w:unhideWhenUsed/>
    <w:pPr>
      <w:spacing w:after="57"/>
      <w:ind w:left="2268"/>
    </w:pPr>
  </w:style>
  <w:style w:type="paragraph" w:styleId="953">
    <w:name w:val="TOC Heading"/>
    <w:uiPriority w:val="39"/>
    <w:unhideWhenUsed/>
  </w:style>
  <w:style w:type="paragraph" w:styleId="954">
    <w:name w:val="table of figures"/>
    <w:basedOn w:val="773"/>
    <w:next w:val="773"/>
    <w:uiPriority w:val="99"/>
    <w:unhideWhenUsed/>
  </w:style>
  <w:style w:type="paragraph" w:styleId="955">
    <w:name w:val="Balloon Text"/>
    <w:basedOn w:val="773"/>
    <w:semiHidden/>
    <w:rPr>
      <w:rFonts w:ascii="Tahoma" w:hAnsi="Tahoma" w:cs="Tahoma"/>
      <w:sz w:val="16"/>
      <w:szCs w:val="16"/>
    </w:rPr>
  </w:style>
  <w:style w:type="paragraph" w:styleId="956" w:customStyle="1">
    <w:name w:val="Название"/>
    <w:basedOn w:val="773"/>
    <w:qFormat/>
    <w:pPr>
      <w:jc w:val="center"/>
    </w:pPr>
    <w:rPr>
      <w:b/>
      <w:bCs/>
      <w:sz w:val="28"/>
      <w:szCs w:val="28"/>
    </w:rPr>
  </w:style>
  <w:style w:type="paragraph" w:styleId="957">
    <w:name w:val="Body Text"/>
    <w:basedOn w:val="773"/>
    <w:pPr>
      <w:keepNext/>
      <w:keepLines/>
      <w:spacing w:line="240" w:lineRule="atLeast"/>
    </w:pPr>
    <w:rPr>
      <w:color w:val="000000"/>
      <w:sz w:val="22"/>
      <w:szCs w:val="22"/>
    </w:rPr>
  </w:style>
  <w:style w:type="character" w:styleId="958">
    <w:name w:val="page number"/>
    <w:rPr>
      <w:rFonts w:cs="Times New Roman"/>
    </w:rPr>
  </w:style>
  <w:style w:type="character" w:styleId="959" w:customStyle="1">
    <w:name w:val="Нижний колонтитул Знак"/>
    <w:link w:val="807"/>
    <w:uiPriority w:val="99"/>
    <w:rPr>
      <w:sz w:val="24"/>
      <w:szCs w:val="24"/>
    </w:rPr>
  </w:style>
  <w:style w:type="character" w:styleId="960">
    <w:name w:val="Strong"/>
    <w:uiPriority w:val="22"/>
    <w:qFormat/>
    <w:rPr>
      <w:b/>
      <w:bCs/>
    </w:rPr>
  </w:style>
  <w:style w:type="character" w:styleId="961" w:customStyle="1">
    <w:name w:val="Верхний колонтитул Знак"/>
    <w:link w:val="805"/>
    <w:uiPriority w:val="99"/>
    <w:rPr>
      <w:sz w:val="24"/>
      <w:szCs w:val="24"/>
    </w:rPr>
  </w:style>
  <w:style w:type="character" w:styleId="962">
    <w:name w:val="annotation reference"/>
    <w:rPr>
      <w:sz w:val="16"/>
      <w:szCs w:val="16"/>
    </w:rPr>
  </w:style>
  <w:style w:type="paragraph" w:styleId="963">
    <w:name w:val="annotation text"/>
    <w:basedOn w:val="773"/>
    <w:link w:val="964"/>
    <w:rPr>
      <w:sz w:val="20"/>
      <w:szCs w:val="20"/>
    </w:rPr>
  </w:style>
  <w:style w:type="character" w:styleId="964" w:customStyle="1">
    <w:name w:val="Текст примечания Знак"/>
    <w:basedOn w:val="783"/>
    <w:link w:val="963"/>
  </w:style>
  <w:style w:type="paragraph" w:styleId="965">
    <w:name w:val="annotation subject"/>
    <w:basedOn w:val="963"/>
    <w:next w:val="963"/>
    <w:link w:val="966"/>
    <w:rPr>
      <w:b/>
      <w:bCs/>
    </w:rPr>
  </w:style>
  <w:style w:type="character" w:styleId="966" w:customStyle="1">
    <w:name w:val="Тема примечания Знак"/>
    <w:link w:val="965"/>
    <w:rPr>
      <w:b/>
      <w:bCs/>
    </w:rPr>
  </w:style>
  <w:style w:type="paragraph" w:styleId="967">
    <w:name w:val="Revision"/>
    <w:hidden/>
    <w:uiPriority w:val="99"/>
    <w:semiHidden/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RSHB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Kuzina</dc:creator>
  <cp:revision>8</cp:revision>
  <dcterms:created xsi:type="dcterms:W3CDTF">2024-12-20T09:34:00Z</dcterms:created>
  <dcterms:modified xsi:type="dcterms:W3CDTF">2025-03-24T10:21:26Z</dcterms:modified>
  <cp:version>1048576</cp:version>
</cp:coreProperties>
</file>